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B71B" w14:textId="77777777" w:rsidR="00633D46" w:rsidRDefault="00633D46" w:rsidP="00255F55">
      <w:pPr>
        <w:pStyle w:val="Titre2"/>
        <w:numPr>
          <w:ilvl w:val="0"/>
          <w:numId w:val="0"/>
        </w:numPr>
        <w:jc w:val="center"/>
        <w:rPr>
          <w:rFonts w:asciiTheme="minorHAnsi" w:hAnsiTheme="minorHAnsi" w:cstheme="minorHAnsi"/>
          <w:spacing w:val="-4"/>
          <w:sz w:val="48"/>
          <w:szCs w:val="48"/>
        </w:rPr>
      </w:pPr>
    </w:p>
    <w:p w14:paraId="2422613B" w14:textId="20D06BA4" w:rsidR="002868D3" w:rsidRPr="00255F55" w:rsidRDefault="00255F55" w:rsidP="00255F55">
      <w:pPr>
        <w:pStyle w:val="Titre2"/>
        <w:numPr>
          <w:ilvl w:val="0"/>
          <w:numId w:val="0"/>
        </w:numPr>
        <w:jc w:val="center"/>
        <w:rPr>
          <w:rFonts w:asciiTheme="minorHAnsi" w:hAnsiTheme="minorHAnsi" w:cstheme="minorHAnsi"/>
          <w:spacing w:val="-4"/>
          <w:sz w:val="48"/>
          <w:szCs w:val="48"/>
        </w:rPr>
      </w:pPr>
      <w:r>
        <w:rPr>
          <w:rFonts w:asciiTheme="minorHAnsi" w:hAnsiTheme="minorHAnsi" w:cstheme="minorHAnsi"/>
          <w:spacing w:val="-4"/>
          <w:sz w:val="48"/>
          <w:szCs w:val="48"/>
        </w:rPr>
        <w:t>« </w:t>
      </w:r>
      <w:r w:rsidR="002868D3" w:rsidRPr="00255F55">
        <w:rPr>
          <w:rFonts w:asciiTheme="minorHAnsi" w:hAnsiTheme="minorHAnsi" w:cstheme="minorHAnsi"/>
          <w:spacing w:val="-4"/>
          <w:sz w:val="48"/>
          <w:szCs w:val="48"/>
        </w:rPr>
        <w:t>L’open data du Gaz</w:t>
      </w:r>
      <w:r>
        <w:rPr>
          <w:rFonts w:asciiTheme="minorHAnsi" w:hAnsiTheme="minorHAnsi" w:cstheme="minorHAnsi"/>
          <w:spacing w:val="-4"/>
          <w:sz w:val="48"/>
          <w:szCs w:val="48"/>
        </w:rPr>
        <w:t> »</w:t>
      </w:r>
      <w:r w:rsidR="00AA11A2">
        <w:rPr>
          <w:rFonts w:asciiTheme="minorHAnsi" w:hAnsiTheme="minorHAnsi" w:cstheme="minorHAnsi"/>
          <w:spacing w:val="-4"/>
          <w:sz w:val="48"/>
          <w:szCs w:val="48"/>
        </w:rPr>
        <w:t xml:space="preserve"> : </w:t>
      </w:r>
      <w:r w:rsidR="00B3047D">
        <w:rPr>
          <w:rFonts w:asciiTheme="minorHAnsi" w:hAnsiTheme="minorHAnsi" w:cstheme="minorHAnsi"/>
          <w:spacing w:val="-4"/>
          <w:sz w:val="48"/>
          <w:szCs w:val="48"/>
        </w:rPr>
        <w:t>Q</w:t>
      </w:r>
      <w:r w:rsidR="00AA11A2" w:rsidRPr="00AA11A2">
        <w:rPr>
          <w:rFonts w:asciiTheme="minorHAnsi" w:hAnsiTheme="minorHAnsi" w:cstheme="minorHAnsi"/>
          <w:spacing w:val="-4"/>
          <w:sz w:val="48"/>
          <w:szCs w:val="48"/>
        </w:rPr>
        <w:t>uelles données numériques en libre accès/Open data ?</w:t>
      </w:r>
    </w:p>
    <w:p w14:paraId="53A7F83D" w14:textId="37A4F6C1" w:rsidR="00DB12AE" w:rsidRPr="00255F55" w:rsidRDefault="00685866" w:rsidP="00D37E02">
      <w:pPr>
        <w:rPr>
          <w:rFonts w:cstheme="minorHAnsi"/>
          <w:spacing w:val="-4"/>
        </w:rPr>
      </w:pPr>
      <w:r w:rsidRPr="00253C50">
        <w:rPr>
          <w:rFonts w:cstheme="minorHAnsi"/>
          <w:spacing w:val="-4"/>
        </w:rPr>
        <w:t xml:space="preserve">Le portail cartographique français des énergies renouvelables </w:t>
      </w:r>
      <w:r w:rsidR="00D44E54" w:rsidRPr="00424559">
        <w:rPr>
          <w:rFonts w:cstheme="minorHAnsi"/>
          <w:spacing w:val="-4"/>
        </w:rPr>
        <w:t xml:space="preserve">regroupe des informations </w:t>
      </w:r>
      <w:r w:rsidR="007A05F6" w:rsidRPr="00424559">
        <w:rPr>
          <w:rFonts w:cstheme="minorHAnsi"/>
          <w:spacing w:val="-4"/>
        </w:rPr>
        <w:t>utiles</w:t>
      </w:r>
      <w:r w:rsidR="0074229E" w:rsidRPr="00424559">
        <w:rPr>
          <w:rFonts w:cstheme="minorHAnsi"/>
          <w:spacing w:val="-4"/>
        </w:rPr>
        <w:t xml:space="preserve"> et importantes pour identifier le contexte </w:t>
      </w:r>
      <w:r w:rsidR="00233105" w:rsidRPr="00424559">
        <w:rPr>
          <w:rFonts w:cstheme="minorHAnsi"/>
          <w:spacing w:val="-4"/>
        </w:rPr>
        <w:t xml:space="preserve">local </w:t>
      </w:r>
      <w:r w:rsidR="0074229E" w:rsidRPr="00424559">
        <w:rPr>
          <w:rFonts w:cstheme="minorHAnsi"/>
          <w:spacing w:val="-4"/>
        </w:rPr>
        <w:t>de la production d’ENR</w:t>
      </w:r>
      <w:r w:rsidR="00233105" w:rsidRPr="00424559">
        <w:rPr>
          <w:rFonts w:cstheme="minorHAnsi"/>
          <w:spacing w:val="-4"/>
        </w:rPr>
        <w:t>.</w:t>
      </w:r>
      <w:r w:rsidR="00233105" w:rsidRPr="00424559">
        <w:rPr>
          <w:rFonts w:cstheme="minorHAnsi"/>
          <w:spacing w:val="-4"/>
        </w:rPr>
        <w:br/>
        <w:t xml:space="preserve">Certaines données contextuelles sont reprises et disponibles dans le menu </w:t>
      </w:r>
      <w:r w:rsidR="00C24202" w:rsidRPr="00424559">
        <w:rPr>
          <w:rFonts w:cstheme="minorHAnsi"/>
          <w:spacing w:val="-4"/>
        </w:rPr>
        <w:t>du portail.</w:t>
      </w:r>
      <w:r w:rsidR="006F1E11" w:rsidRPr="00255F55">
        <w:rPr>
          <w:rFonts w:cstheme="minorHAnsi"/>
          <w:spacing w:val="-4"/>
        </w:rPr>
        <w:t xml:space="preserve"> Elles proviennent pour certaines de sources en </w:t>
      </w:r>
      <w:proofErr w:type="spellStart"/>
      <w:r w:rsidR="006F1E11" w:rsidRPr="00255F55">
        <w:rPr>
          <w:rFonts w:cstheme="minorHAnsi"/>
          <w:spacing w:val="-4"/>
        </w:rPr>
        <w:t>opendat</w:t>
      </w:r>
      <w:r w:rsidR="006F5F42" w:rsidRPr="00255F55">
        <w:rPr>
          <w:rFonts w:cstheme="minorHAnsi"/>
          <w:spacing w:val="-4"/>
        </w:rPr>
        <w:t>a</w:t>
      </w:r>
      <w:proofErr w:type="spellEnd"/>
      <w:r w:rsidR="006F5F42" w:rsidRPr="00255F55">
        <w:rPr>
          <w:rFonts w:cstheme="minorHAnsi"/>
          <w:spacing w:val="-4"/>
        </w:rPr>
        <w:t>.</w:t>
      </w:r>
    </w:p>
    <w:p w14:paraId="2F9426C4" w14:textId="5C397079" w:rsidR="006F5F42" w:rsidRPr="00255F55" w:rsidRDefault="006F5F42" w:rsidP="00D37E02">
      <w:pPr>
        <w:rPr>
          <w:rFonts w:cstheme="minorHAnsi"/>
          <w:spacing w:val="-4"/>
        </w:rPr>
      </w:pPr>
      <w:r w:rsidRPr="00255F55">
        <w:rPr>
          <w:rFonts w:cstheme="minorHAnsi"/>
          <w:spacing w:val="-4"/>
        </w:rPr>
        <w:t>Les données concernant l</w:t>
      </w:r>
      <w:r w:rsidR="0098633C" w:rsidRPr="00255F55">
        <w:rPr>
          <w:rFonts w:cstheme="minorHAnsi"/>
          <w:spacing w:val="-4"/>
        </w:rPr>
        <w:t xml:space="preserve">e gaz et l’électricité acheminés par les infrastructures linéaires de transport et d’électricité sont disponibles sur les </w:t>
      </w:r>
      <w:proofErr w:type="spellStart"/>
      <w:r w:rsidR="0098633C" w:rsidRPr="00255F55">
        <w:rPr>
          <w:rFonts w:cstheme="minorHAnsi"/>
          <w:spacing w:val="-4"/>
        </w:rPr>
        <w:t>opendata</w:t>
      </w:r>
      <w:proofErr w:type="spellEnd"/>
      <w:r w:rsidR="0098633C" w:rsidRPr="00255F55">
        <w:rPr>
          <w:rFonts w:cstheme="minorHAnsi"/>
          <w:spacing w:val="-4"/>
        </w:rPr>
        <w:t xml:space="preserve"> </w:t>
      </w:r>
      <w:r w:rsidR="00D15154" w:rsidRPr="00255F55">
        <w:rPr>
          <w:rFonts w:cstheme="minorHAnsi"/>
          <w:spacing w:val="-4"/>
        </w:rPr>
        <w:t>d’ODRE et de l’Agence ORE :</w:t>
      </w:r>
    </w:p>
    <w:p w14:paraId="5455738D" w14:textId="593BC984" w:rsidR="002A51E2" w:rsidRPr="00253C50" w:rsidRDefault="009D6963" w:rsidP="00D37E02">
      <w:pPr>
        <w:rPr>
          <w:rFonts w:cstheme="minorHAnsi"/>
          <w:spacing w:val="-4"/>
        </w:rPr>
      </w:pPr>
      <w:r w:rsidRPr="00255F55">
        <w:rPr>
          <w:rFonts w:cstheme="minorHAnsi"/>
          <w:b/>
          <w:bCs/>
          <w:spacing w:val="-4"/>
          <w:u w:val="single"/>
        </w:rPr>
        <w:t>ODRE</w:t>
      </w:r>
      <w:r w:rsidR="00D15154" w:rsidRPr="00255F55">
        <w:rPr>
          <w:rFonts w:cstheme="minorHAnsi"/>
          <w:b/>
          <w:bCs/>
          <w:spacing w:val="-4"/>
        </w:rPr>
        <w:t xml:space="preserve">, </w:t>
      </w:r>
      <w:proofErr w:type="spellStart"/>
      <w:r w:rsidR="00D15154" w:rsidRPr="00255F55">
        <w:rPr>
          <w:rFonts w:cstheme="minorHAnsi"/>
          <w:b/>
          <w:bCs/>
          <w:spacing w:val="-4"/>
        </w:rPr>
        <w:t>Open</w:t>
      </w:r>
      <w:r w:rsidR="00F118BF" w:rsidRPr="00255F55">
        <w:rPr>
          <w:rFonts w:cstheme="minorHAnsi"/>
          <w:b/>
          <w:bCs/>
          <w:spacing w:val="-4"/>
        </w:rPr>
        <w:t>d</w:t>
      </w:r>
      <w:r w:rsidR="00D15154" w:rsidRPr="00255F55">
        <w:rPr>
          <w:rFonts w:cstheme="minorHAnsi"/>
          <w:b/>
          <w:bCs/>
          <w:spacing w:val="-4"/>
        </w:rPr>
        <w:t>ata</w:t>
      </w:r>
      <w:proofErr w:type="spellEnd"/>
      <w:r w:rsidR="00D15154" w:rsidRPr="00255F55">
        <w:rPr>
          <w:rFonts w:cstheme="minorHAnsi"/>
          <w:b/>
          <w:bCs/>
          <w:spacing w:val="-4"/>
        </w:rPr>
        <w:t xml:space="preserve"> Réseaux</w:t>
      </w:r>
      <w:r w:rsidR="00F118BF" w:rsidRPr="00255F55">
        <w:rPr>
          <w:rFonts w:cstheme="minorHAnsi"/>
          <w:b/>
          <w:bCs/>
          <w:spacing w:val="-4"/>
        </w:rPr>
        <w:t>-</w:t>
      </w:r>
      <w:r w:rsidR="00D15154" w:rsidRPr="00255F55">
        <w:rPr>
          <w:rFonts w:cstheme="minorHAnsi"/>
          <w:b/>
          <w:bCs/>
          <w:spacing w:val="-4"/>
        </w:rPr>
        <w:t>Energies</w:t>
      </w:r>
      <w:r w:rsidR="00D15154" w:rsidRPr="00255F55">
        <w:rPr>
          <w:rFonts w:cstheme="minorHAnsi"/>
          <w:spacing w:val="-4"/>
        </w:rPr>
        <w:t xml:space="preserve">, est une plateforme </w:t>
      </w:r>
      <w:r w:rsidR="00442F70" w:rsidRPr="00255F55">
        <w:rPr>
          <w:rFonts w:cstheme="minorHAnsi"/>
          <w:spacing w:val="-4"/>
        </w:rPr>
        <w:t xml:space="preserve">de mise à disposition de données multi-énergies en open data et sous forme de datavisualisations, </w:t>
      </w:r>
      <w:r w:rsidR="00D15154" w:rsidRPr="00255F55">
        <w:rPr>
          <w:rFonts w:cstheme="minorHAnsi"/>
          <w:spacing w:val="-4"/>
        </w:rPr>
        <w:t xml:space="preserve">regroupant </w:t>
      </w:r>
      <w:r w:rsidR="00832041" w:rsidRPr="00255F55">
        <w:rPr>
          <w:rFonts w:cstheme="minorHAnsi"/>
          <w:spacing w:val="-4"/>
        </w:rPr>
        <w:t xml:space="preserve">les opérateurs </w:t>
      </w:r>
      <w:r w:rsidR="00EB2801" w:rsidRPr="00255F55">
        <w:rPr>
          <w:rFonts w:cstheme="minorHAnsi"/>
          <w:spacing w:val="-4"/>
        </w:rPr>
        <w:t xml:space="preserve">électriques et gaziers </w:t>
      </w:r>
      <w:r w:rsidR="00832041" w:rsidRPr="00255F55">
        <w:rPr>
          <w:rFonts w:cstheme="minorHAnsi"/>
          <w:spacing w:val="-4"/>
        </w:rPr>
        <w:t>RTE</w:t>
      </w:r>
      <w:r w:rsidR="00EB2801" w:rsidRPr="00255F55">
        <w:rPr>
          <w:rFonts w:cstheme="minorHAnsi"/>
          <w:spacing w:val="-4"/>
        </w:rPr>
        <w:t xml:space="preserve"> (transport</w:t>
      </w:r>
      <w:r w:rsidR="00F95A3B" w:rsidRPr="00255F55">
        <w:rPr>
          <w:rFonts w:cstheme="minorHAnsi"/>
          <w:spacing w:val="-4"/>
        </w:rPr>
        <w:t>eur</w:t>
      </w:r>
      <w:r w:rsidR="00EB2801" w:rsidRPr="00255F55">
        <w:rPr>
          <w:rFonts w:cstheme="minorHAnsi"/>
          <w:spacing w:val="-4"/>
        </w:rPr>
        <w:t xml:space="preserve"> d’électricité)</w:t>
      </w:r>
      <w:r w:rsidR="00832041" w:rsidRPr="00255F55">
        <w:rPr>
          <w:rFonts w:cstheme="minorHAnsi"/>
          <w:spacing w:val="-4"/>
        </w:rPr>
        <w:t>, GRTgaz</w:t>
      </w:r>
      <w:r w:rsidR="00F95A3B" w:rsidRPr="00255F55">
        <w:rPr>
          <w:rFonts w:cstheme="minorHAnsi"/>
          <w:spacing w:val="-4"/>
        </w:rPr>
        <w:t xml:space="preserve"> et</w:t>
      </w:r>
      <w:r w:rsidR="00EB2801" w:rsidRPr="00255F55">
        <w:rPr>
          <w:rFonts w:cstheme="minorHAnsi"/>
          <w:spacing w:val="-4"/>
        </w:rPr>
        <w:t xml:space="preserve"> </w:t>
      </w:r>
      <w:proofErr w:type="spellStart"/>
      <w:r w:rsidR="00F95A3B" w:rsidRPr="00255F55">
        <w:rPr>
          <w:rFonts w:cstheme="minorHAnsi"/>
          <w:spacing w:val="-4"/>
        </w:rPr>
        <w:t>Teréga</w:t>
      </w:r>
      <w:proofErr w:type="spellEnd"/>
      <w:r w:rsidR="00F95A3B" w:rsidRPr="00255F55">
        <w:rPr>
          <w:rFonts w:cstheme="minorHAnsi"/>
          <w:spacing w:val="-4"/>
        </w:rPr>
        <w:t xml:space="preserve"> </w:t>
      </w:r>
      <w:r w:rsidR="00EB2801" w:rsidRPr="00255F55">
        <w:rPr>
          <w:rFonts w:cstheme="minorHAnsi"/>
          <w:spacing w:val="-4"/>
        </w:rPr>
        <w:t>(transport</w:t>
      </w:r>
      <w:r w:rsidR="00F95A3B" w:rsidRPr="00255F55">
        <w:rPr>
          <w:rFonts w:cstheme="minorHAnsi"/>
          <w:spacing w:val="-4"/>
        </w:rPr>
        <w:t>eurs</w:t>
      </w:r>
      <w:r w:rsidR="00EB2801" w:rsidRPr="00255F55">
        <w:rPr>
          <w:rFonts w:cstheme="minorHAnsi"/>
          <w:spacing w:val="-4"/>
        </w:rPr>
        <w:t xml:space="preserve"> de gaz)</w:t>
      </w:r>
      <w:r w:rsidR="00832041" w:rsidRPr="00255F55">
        <w:rPr>
          <w:rFonts w:cstheme="minorHAnsi"/>
          <w:spacing w:val="-4"/>
        </w:rPr>
        <w:t>, Storengy</w:t>
      </w:r>
      <w:r w:rsidR="00EB2801" w:rsidRPr="00255F55">
        <w:rPr>
          <w:rFonts w:cstheme="minorHAnsi"/>
          <w:spacing w:val="-4"/>
        </w:rPr>
        <w:t xml:space="preserve"> (stockage</w:t>
      </w:r>
      <w:r w:rsidR="00F95A3B" w:rsidRPr="00255F55">
        <w:rPr>
          <w:rFonts w:cstheme="minorHAnsi"/>
          <w:spacing w:val="-4"/>
        </w:rPr>
        <w:t>s</w:t>
      </w:r>
      <w:r w:rsidR="00EB2801" w:rsidRPr="00255F55">
        <w:rPr>
          <w:rFonts w:cstheme="minorHAnsi"/>
          <w:spacing w:val="-4"/>
        </w:rPr>
        <w:t xml:space="preserve"> souterrains de gaz)</w:t>
      </w:r>
      <w:r w:rsidR="00832041" w:rsidRPr="00255F55">
        <w:rPr>
          <w:rFonts w:cstheme="minorHAnsi"/>
          <w:spacing w:val="-4"/>
        </w:rPr>
        <w:t>, Dunkerque LNG</w:t>
      </w:r>
      <w:r w:rsidR="00EB2801" w:rsidRPr="00255F55">
        <w:rPr>
          <w:rFonts w:cstheme="minorHAnsi"/>
          <w:spacing w:val="-4"/>
        </w:rPr>
        <w:t xml:space="preserve"> </w:t>
      </w:r>
      <w:r w:rsidR="00F95A3B" w:rsidRPr="00255F55">
        <w:rPr>
          <w:rFonts w:cstheme="minorHAnsi"/>
          <w:spacing w:val="-4"/>
        </w:rPr>
        <w:t>et</w:t>
      </w:r>
      <w:r w:rsidR="00832041" w:rsidRPr="00255F55">
        <w:rPr>
          <w:rFonts w:cstheme="minorHAnsi"/>
          <w:spacing w:val="-4"/>
        </w:rPr>
        <w:t xml:space="preserve"> E</w:t>
      </w:r>
      <w:r w:rsidR="00F95A3B" w:rsidRPr="00255F55">
        <w:rPr>
          <w:rFonts w:cstheme="minorHAnsi"/>
          <w:spacing w:val="-4"/>
        </w:rPr>
        <w:t>l</w:t>
      </w:r>
      <w:r w:rsidR="00832041" w:rsidRPr="00255F55">
        <w:rPr>
          <w:rFonts w:cstheme="minorHAnsi"/>
          <w:spacing w:val="-4"/>
        </w:rPr>
        <w:t>engy</w:t>
      </w:r>
      <w:r w:rsidR="00F95A3B" w:rsidRPr="00255F55">
        <w:rPr>
          <w:rFonts w:cstheme="minorHAnsi"/>
          <w:spacing w:val="-4"/>
        </w:rPr>
        <w:t xml:space="preserve"> (terminaux méthaniers), AFGNV</w:t>
      </w:r>
      <w:r w:rsidR="00184EA1" w:rsidRPr="00255F55">
        <w:rPr>
          <w:rFonts w:cstheme="minorHAnsi"/>
          <w:spacing w:val="-4"/>
        </w:rPr>
        <w:t xml:space="preserve"> (mobilité GNV)</w:t>
      </w:r>
      <w:r w:rsidR="00803BCB" w:rsidRPr="00255F55">
        <w:rPr>
          <w:rFonts w:cstheme="minorHAnsi"/>
          <w:spacing w:val="-4"/>
        </w:rPr>
        <w:t>.</w:t>
      </w:r>
      <w:r w:rsidR="00832041" w:rsidRPr="00255F55">
        <w:rPr>
          <w:rFonts w:cstheme="minorHAnsi"/>
          <w:spacing w:val="-4"/>
        </w:rPr>
        <w:t xml:space="preserve"> </w:t>
      </w:r>
      <w:r w:rsidR="00607A2E" w:rsidRPr="00255F55">
        <w:rPr>
          <w:rFonts w:cstheme="minorHAnsi"/>
          <w:spacing w:val="-4"/>
        </w:rPr>
        <w:br/>
      </w:r>
      <w:hyperlink r:id="rId7" w:history="1">
        <w:r w:rsidR="002A51E2" w:rsidRPr="00424559">
          <w:rPr>
            <w:rStyle w:val="Lienhypertexte"/>
            <w:rFonts w:cstheme="minorHAnsi"/>
            <w:spacing w:val="-4"/>
          </w:rPr>
          <w:t>Open Data Réseaux Énergies (ODRÉ) (reseaux-energies.fr)</w:t>
        </w:r>
      </w:hyperlink>
    </w:p>
    <w:p w14:paraId="3D16DD25" w14:textId="297419F1" w:rsidR="00424559" w:rsidRDefault="009D6963" w:rsidP="00424559">
      <w:pPr>
        <w:rPr>
          <w:rStyle w:val="Lienhypertexte"/>
          <w:rFonts w:cstheme="minorHAnsi"/>
          <w:spacing w:val="-4"/>
        </w:rPr>
      </w:pPr>
      <w:r w:rsidRPr="00424559">
        <w:rPr>
          <w:rFonts w:cstheme="minorHAnsi"/>
          <w:b/>
          <w:bCs/>
          <w:spacing w:val="-4"/>
          <w:u w:val="single"/>
        </w:rPr>
        <w:t>Agence ORE</w:t>
      </w:r>
      <w:r w:rsidR="002A51E2" w:rsidRPr="00424559">
        <w:rPr>
          <w:rFonts w:cstheme="minorHAnsi"/>
          <w:b/>
          <w:bCs/>
          <w:spacing w:val="-4"/>
        </w:rPr>
        <w:t xml:space="preserve">, </w:t>
      </w:r>
      <w:r w:rsidR="00442F70" w:rsidRPr="00424559">
        <w:rPr>
          <w:rFonts w:cstheme="minorHAnsi"/>
          <w:b/>
          <w:bCs/>
          <w:spacing w:val="-4"/>
        </w:rPr>
        <w:t>Opérateurs de Réseaux d’Énergie</w:t>
      </w:r>
      <w:r w:rsidR="00442F70" w:rsidRPr="00424559">
        <w:rPr>
          <w:rFonts w:cstheme="minorHAnsi"/>
          <w:spacing w:val="-4"/>
        </w:rPr>
        <w:t>, fédère l’ensemble des acteurs français de la distribution d’électricité et de gaz, pour offrir une vision globale de la distribution en France, en un guichet unique et gratuit de la donnée. Elle met à disposition la donnée multi-énergie, multi-gestionnaires de réseaux de distribution</w:t>
      </w:r>
      <w:r w:rsidR="002868D3" w:rsidRPr="00255F55">
        <w:rPr>
          <w:rFonts w:cstheme="minorHAnsi"/>
          <w:spacing w:val="-4"/>
        </w:rPr>
        <w:t xml:space="preserve"> </w:t>
      </w:r>
      <w:r w:rsidR="00442F70" w:rsidRPr="00255F55">
        <w:rPr>
          <w:rFonts w:cstheme="minorHAnsi"/>
          <w:spacing w:val="-4"/>
        </w:rPr>
        <w:t>pour accompagner la transition énergétique dans les territoires français, en open data et sous forme de datavisualisations.</w:t>
      </w:r>
      <w:r w:rsidR="00607A2E" w:rsidRPr="00255F55">
        <w:rPr>
          <w:rFonts w:cstheme="minorHAnsi"/>
          <w:spacing w:val="-4"/>
        </w:rPr>
        <w:br/>
      </w:r>
      <w:hyperlink r:id="rId8" w:history="1">
        <w:r w:rsidR="00F406B3" w:rsidRPr="00424559">
          <w:rPr>
            <w:rStyle w:val="Lienhypertexte"/>
            <w:rFonts w:cstheme="minorHAnsi"/>
            <w:spacing w:val="-4"/>
          </w:rPr>
          <w:t>Toutes les données de l'énergie en datavisualisations | Agence ORE</w:t>
        </w:r>
      </w:hyperlink>
    </w:p>
    <w:p w14:paraId="666760B2" w14:textId="37921A58" w:rsidR="004B28C3" w:rsidRDefault="00424559" w:rsidP="00255F55">
      <w:pPr>
        <w:rPr>
          <w:rFonts w:cstheme="minorHAnsi"/>
          <w:spacing w:val="-4"/>
        </w:rPr>
      </w:pPr>
      <w:r w:rsidRPr="00255F55">
        <w:rPr>
          <w:rFonts w:cstheme="minorHAnsi"/>
          <w:b/>
          <w:bCs/>
          <w:spacing w:val="-4"/>
          <w:u w:val="single"/>
        </w:rPr>
        <w:t xml:space="preserve">L’Observatoire de la filière biométhane </w:t>
      </w:r>
      <w:r w:rsidR="004B28C3">
        <w:rPr>
          <w:rFonts w:cstheme="minorHAnsi"/>
          <w:b/>
          <w:bCs/>
          <w:spacing w:val="-4"/>
          <w:u w:val="single"/>
        </w:rPr>
        <w:t xml:space="preserve"> : </w:t>
      </w:r>
      <w:hyperlink r:id="rId9" w:anchor="implantation-des-sites" w:history="1">
        <w:r w:rsidR="004B28C3">
          <w:rPr>
            <w:rStyle w:val="Lienhypertexte"/>
          </w:rPr>
          <w:t xml:space="preserve"> Nouvelle version — Open Data Réseaux Énergies (ODRÉ) (opendatasoft.com)</w:t>
        </w:r>
      </w:hyperlink>
    </w:p>
    <w:p w14:paraId="1B83AF06" w14:textId="7F0E65E1" w:rsidR="00424559" w:rsidRPr="00024458" w:rsidRDefault="00424559" w:rsidP="00255F55">
      <w:pPr>
        <w:rPr>
          <w:rFonts w:cstheme="minorHAnsi"/>
          <w:spacing w:val="-4"/>
        </w:rPr>
      </w:pPr>
      <w:r w:rsidRPr="00024458">
        <w:rPr>
          <w:rFonts w:cstheme="minorHAnsi"/>
          <w:spacing w:val="-4"/>
        </w:rPr>
        <w:t>Cet observatoire permet de suivre le dynamisme actuel de la filière biométhane grâce à 5 thématiques : la localisation des sites en injection, le registre et la file d'attente des projets, les données ratio de production et de consommation, le suivi des installations de rebours (interfaces techniques entre les réseaux de distribution et de transport), les données de droit à l’injection pour l’accès au réseau.</w:t>
      </w:r>
    </w:p>
    <w:p w14:paraId="5D9C6D81" w14:textId="0343A5D4" w:rsidR="004B28C3" w:rsidRDefault="00424559" w:rsidP="00424559">
      <w:pPr>
        <w:rPr>
          <w:rFonts w:cstheme="minorHAnsi"/>
          <w:spacing w:val="-4"/>
        </w:rPr>
      </w:pPr>
      <w:r w:rsidRPr="00024458">
        <w:rPr>
          <w:rFonts w:cstheme="minorHAnsi"/>
          <w:spacing w:val="-4"/>
        </w:rPr>
        <w:t>Le biométhane se développe sur tout le territoire français. Il est produit à partir de la transformation de matières organiques issues de divers secteurs : agricole, déchets ménagers, industriel, gaz issu des installations de stockage des déchets non dangereux (ISDND), station d’épuration.</w:t>
      </w:r>
    </w:p>
    <w:p w14:paraId="57DB5FF0" w14:textId="32F9E73D" w:rsidR="004B28C3" w:rsidRPr="00D37E02" w:rsidRDefault="00424559" w:rsidP="004B28C3">
      <w:pPr>
        <w:rPr>
          <w:spacing w:val="-4"/>
        </w:rPr>
      </w:pPr>
      <w:r w:rsidRPr="00255F55">
        <w:rPr>
          <w:b/>
          <w:bCs/>
        </w:rPr>
        <w:t>L’Observatoire du Bio(GNV)</w:t>
      </w:r>
      <w:r w:rsidR="004B28C3">
        <w:rPr>
          <w:b/>
          <w:bCs/>
        </w:rPr>
        <w:t xml:space="preserve"> : </w:t>
      </w:r>
      <w:hyperlink r:id="rId10" w:anchor="points-davitaillement" w:history="1">
        <w:r w:rsidR="004B28C3" w:rsidRPr="00D37E02">
          <w:rPr>
            <w:rStyle w:val="Lienhypertexte"/>
            <w:spacing w:val="-4"/>
          </w:rPr>
          <w:t>Open Data Réseaux Énergies (ODRÉ) (opendatasoft.com)</w:t>
        </w:r>
      </w:hyperlink>
    </w:p>
    <w:p w14:paraId="680B881A" w14:textId="6DC06431" w:rsidR="00424559" w:rsidRPr="00024458" w:rsidRDefault="00424559" w:rsidP="00424559">
      <w:pPr>
        <w:rPr>
          <w:rFonts w:cstheme="minorHAnsi"/>
          <w:spacing w:val="-4"/>
        </w:rPr>
      </w:pPr>
      <w:r w:rsidRPr="00024458">
        <w:rPr>
          <w:rFonts w:cstheme="minorHAnsi"/>
          <w:b/>
          <w:bCs/>
          <w:spacing w:val="-4"/>
        </w:rPr>
        <w:t>L’observatoire du (bio)GNV fournit les données annuelles et actualisées concernant l’usage du GNV (Gaz Naturel Véhicules) et du bioGNV (biométhane utilisé comme carburant) en France</w:t>
      </w:r>
      <w:r w:rsidRPr="00024458">
        <w:rPr>
          <w:rFonts w:cstheme="minorHAnsi"/>
          <w:spacing w:val="-4"/>
        </w:rPr>
        <w:t xml:space="preserve"> : consommation, nombre de stations publiques et de véhicules en service. Ces données sont disponibles en libre accès pour téléchargement sous l'onglet Données.</w:t>
      </w:r>
    </w:p>
    <w:p w14:paraId="58FB0F30" w14:textId="77777777" w:rsidR="00856ED2" w:rsidRDefault="00424559">
      <w:pPr>
        <w:rPr>
          <w:rFonts w:cstheme="minorHAnsi"/>
          <w:spacing w:val="-4"/>
        </w:rPr>
      </w:pPr>
      <w:r w:rsidRPr="00024458">
        <w:rPr>
          <w:rFonts w:cstheme="minorHAnsi"/>
          <w:spacing w:val="-4"/>
        </w:rPr>
        <w:t xml:space="preserve">Le GNV (Gaz naturel véhicule) est le nom donné au gaz naturel lorsqu’il est utilisé comme carburant pour la mobilité. Il est disponible sous forme gazeuse comprimée (GNC) ou liquide (GNL). Le bioGNV est la </w:t>
      </w:r>
    </w:p>
    <w:p w14:paraId="567A95B3" w14:textId="77777777" w:rsidR="00856ED2" w:rsidRDefault="00856ED2">
      <w:pPr>
        <w:rPr>
          <w:rFonts w:cstheme="minorHAnsi"/>
          <w:spacing w:val="-4"/>
        </w:rPr>
      </w:pPr>
    </w:p>
    <w:p w14:paraId="0C42D38B" w14:textId="32829428" w:rsidR="00FA7BBC" w:rsidRDefault="00424559">
      <w:pPr>
        <w:rPr>
          <w:rFonts w:cstheme="minorHAnsi"/>
          <w:spacing w:val="-4"/>
        </w:rPr>
      </w:pPr>
      <w:r w:rsidRPr="00024458">
        <w:rPr>
          <w:rFonts w:cstheme="minorHAnsi"/>
          <w:spacing w:val="-4"/>
        </w:rPr>
        <w:t>version renouvelable du GNV : c’est l’utilisation comme carburant du biométhane, produit à partir de la méthanisation de déchets organiques. </w:t>
      </w:r>
    </w:p>
    <w:p w14:paraId="5E37DF7B" w14:textId="77777777" w:rsidR="00255F55" w:rsidRPr="00255F55" w:rsidRDefault="00255F55" w:rsidP="00255F55">
      <w:pPr>
        <w:pStyle w:val="Titre2"/>
        <w:tabs>
          <w:tab w:val="num" w:pos="720"/>
        </w:tabs>
        <w:rPr>
          <w:rFonts w:asciiTheme="minorHAnsi" w:hAnsiTheme="minorHAnsi" w:cstheme="minorHAnsi"/>
          <w:spacing w:val="-4"/>
        </w:rPr>
      </w:pPr>
      <w:r w:rsidRPr="00255F55">
        <w:rPr>
          <w:rFonts w:asciiTheme="minorHAnsi" w:hAnsiTheme="minorHAnsi" w:cstheme="minorHAnsi"/>
          <w:spacing w:val="-4"/>
        </w:rPr>
        <w:t>Le suivi territorial et sectoriel des consommations</w:t>
      </w:r>
    </w:p>
    <w:p w14:paraId="2085647A" w14:textId="77777777" w:rsidR="00255F55" w:rsidRPr="00255F55" w:rsidRDefault="00255F55" w:rsidP="00255F55">
      <w:pPr>
        <w:pStyle w:val="NormalWeb"/>
        <w:shd w:val="clear" w:color="auto" w:fill="FFFFFF"/>
        <w:spacing w:before="0" w:beforeAutospacing="0" w:after="240" w:afterAutospacing="0"/>
        <w:rPr>
          <w:rFonts w:asciiTheme="minorHAnsi" w:eastAsiaTheme="minorHAnsi" w:hAnsiTheme="minorHAnsi" w:cstheme="minorHAnsi"/>
          <w:spacing w:val="-4"/>
          <w:sz w:val="22"/>
          <w:szCs w:val="22"/>
          <w:lang w:eastAsia="en-US"/>
        </w:rPr>
      </w:pPr>
      <w:r w:rsidRPr="00255F55">
        <w:rPr>
          <w:rFonts w:asciiTheme="minorHAnsi" w:eastAsiaTheme="minorHAnsi" w:hAnsiTheme="minorHAnsi" w:cstheme="minorHAnsi"/>
          <w:spacing w:val="-4"/>
          <w:sz w:val="22"/>
          <w:szCs w:val="22"/>
          <w:lang w:eastAsia="en-US"/>
        </w:rPr>
        <w:t xml:space="preserve">Différents jeux de données sont disponibles sur l’Agence ORE et l’open data ODRE pour avoir une information sur la consommation d’énergie. Ces données sont proposées à des mailles territoriales allant de la maille IRIS à la maille régionale, elles peuvent être consultées par secteur d’activité voire par site ou par adresse. Voici quelques exemples extraits des </w:t>
      </w:r>
      <w:proofErr w:type="spellStart"/>
      <w:r w:rsidRPr="00255F55">
        <w:rPr>
          <w:rFonts w:asciiTheme="minorHAnsi" w:eastAsiaTheme="minorHAnsi" w:hAnsiTheme="minorHAnsi" w:cstheme="minorHAnsi"/>
          <w:spacing w:val="-4"/>
          <w:sz w:val="22"/>
          <w:szCs w:val="22"/>
          <w:lang w:eastAsia="en-US"/>
        </w:rPr>
        <w:t>opendata</w:t>
      </w:r>
      <w:proofErr w:type="spellEnd"/>
      <w:r w:rsidRPr="00255F55">
        <w:rPr>
          <w:rFonts w:asciiTheme="minorHAnsi" w:eastAsiaTheme="minorHAnsi" w:hAnsiTheme="minorHAnsi" w:cstheme="minorHAnsi"/>
          <w:spacing w:val="-4"/>
          <w:sz w:val="22"/>
          <w:szCs w:val="22"/>
          <w:lang w:eastAsia="en-US"/>
        </w:rPr>
        <w:t> :</w:t>
      </w:r>
    </w:p>
    <w:p w14:paraId="386C5A49" w14:textId="77777777" w:rsidR="00255F55" w:rsidRPr="00D37E02" w:rsidRDefault="00255F55" w:rsidP="00255F55">
      <w:pPr>
        <w:rPr>
          <w:spacing w:val="-4"/>
        </w:rPr>
      </w:pPr>
      <w:r w:rsidRPr="00D37E02">
        <w:rPr>
          <w:b/>
          <w:bCs/>
          <w:spacing w:val="-4"/>
          <w:u w:val="single"/>
        </w:rPr>
        <w:t>Consommation des industriels sur les réseaux de transport à la maille IRIS</w:t>
      </w:r>
      <w:r w:rsidRPr="00D37E02">
        <w:rPr>
          <w:spacing w:val="-4"/>
        </w:rPr>
        <w:t> :</w:t>
      </w:r>
      <w:r>
        <w:rPr>
          <w:spacing w:val="-4"/>
        </w:rPr>
        <w:br/>
      </w:r>
      <w:hyperlink r:id="rId11" w:history="1">
        <w:r w:rsidRPr="00D37E02">
          <w:rPr>
            <w:rStyle w:val="Lienhypertexte"/>
            <w:spacing w:val="-4"/>
          </w:rPr>
          <w:t>Consommation annuelle définitive d'électricité et de gaz par IRIS des sites industriels raccordés aux réseaux de transport — Open Data Réseaux Énergies (ODRÉ) (opendatasoft.com)</w:t>
        </w:r>
      </w:hyperlink>
    </w:p>
    <w:p w14:paraId="2FD084AD" w14:textId="77777777" w:rsidR="00255F55" w:rsidRPr="00D37E02" w:rsidRDefault="00255F55" w:rsidP="00255F55">
      <w:pPr>
        <w:rPr>
          <w:spacing w:val="-4"/>
        </w:rPr>
      </w:pPr>
      <w:r w:rsidRPr="00D37E02">
        <w:rPr>
          <w:b/>
          <w:bCs/>
          <w:spacing w:val="-4"/>
          <w:u w:val="single"/>
        </w:rPr>
        <w:t xml:space="preserve">Consommation des industriels sur les réseaux de transport avec précision </w:t>
      </w:r>
      <w:proofErr w:type="gramStart"/>
      <w:r w:rsidRPr="00D37E02">
        <w:rPr>
          <w:b/>
          <w:bCs/>
          <w:spacing w:val="-4"/>
          <w:u w:val="single"/>
        </w:rPr>
        <w:t>de adresse</w:t>
      </w:r>
      <w:proofErr w:type="gramEnd"/>
      <w:r w:rsidRPr="00D37E02">
        <w:rPr>
          <w:spacing w:val="-4"/>
        </w:rPr>
        <w:t xml:space="preserve"> : </w:t>
      </w:r>
      <w:r>
        <w:rPr>
          <w:spacing w:val="-4"/>
        </w:rPr>
        <w:br/>
      </w:r>
      <w:hyperlink r:id="rId12" w:history="1">
        <w:r w:rsidRPr="00D37E02">
          <w:rPr>
            <w:rStyle w:val="Lienhypertexte"/>
            <w:spacing w:val="-4"/>
          </w:rPr>
          <w:t>Consommation annuelle définitive à la maille adresse des sites industriels raccordés aux réseaux de transport de gaz et d'électricité — Open Data Réseaux Énergies (ODRÉ) (opendatasoft.com)</w:t>
        </w:r>
      </w:hyperlink>
    </w:p>
    <w:p w14:paraId="4398F691" w14:textId="07283D9D" w:rsidR="00255F55" w:rsidRPr="00255F55" w:rsidRDefault="00255F55" w:rsidP="00255F55">
      <w:pPr>
        <w:rPr>
          <w:spacing w:val="-4"/>
        </w:rPr>
      </w:pPr>
      <w:r w:rsidRPr="00D37E02">
        <w:rPr>
          <w:b/>
          <w:bCs/>
          <w:spacing w:val="-4"/>
          <w:u w:val="single"/>
        </w:rPr>
        <w:t>Consommation sur les réseaux de distribution à la maille IRIS et par secteur d’activité NAF</w:t>
      </w:r>
      <w:r>
        <w:rPr>
          <w:b/>
          <w:bCs/>
          <w:spacing w:val="-4"/>
          <w:u w:val="single"/>
        </w:rPr>
        <w:t> </w:t>
      </w:r>
      <w:r>
        <w:rPr>
          <w:spacing w:val="-4"/>
        </w:rPr>
        <w:t xml:space="preserve">: </w:t>
      </w:r>
      <w:hyperlink r:id="rId13" w:history="1">
        <w:r w:rsidRPr="00D37E02">
          <w:rPr>
            <w:rStyle w:val="Lienhypertexte"/>
            <w:spacing w:val="-4"/>
          </w:rPr>
          <w:t>Consommation annuelle d’électricité et gaz par IRIS et par code NAF — Agence ORE</w:t>
        </w:r>
      </w:hyperlink>
    </w:p>
    <w:p w14:paraId="26934950" w14:textId="659C98A6" w:rsidR="00B25F26" w:rsidRPr="00255F55" w:rsidRDefault="00B25F26" w:rsidP="00424559">
      <w:pPr>
        <w:pStyle w:val="Titre2"/>
        <w:rPr>
          <w:rFonts w:asciiTheme="minorHAnsi" w:hAnsiTheme="minorHAnsi" w:cstheme="minorHAnsi"/>
          <w:spacing w:val="-4"/>
        </w:rPr>
      </w:pPr>
      <w:r w:rsidRPr="00255F55">
        <w:rPr>
          <w:rFonts w:asciiTheme="minorHAnsi" w:hAnsiTheme="minorHAnsi" w:cstheme="minorHAnsi"/>
          <w:spacing w:val="-4"/>
        </w:rPr>
        <w:t>Les infrastructures et installations existantes</w:t>
      </w:r>
    </w:p>
    <w:p w14:paraId="4ECE3C99" w14:textId="3E5EAC27" w:rsidR="00424559" w:rsidRDefault="00424559" w:rsidP="00B25F26">
      <w:pPr>
        <w:pStyle w:val="Titre3"/>
        <w:rPr>
          <w:rFonts w:asciiTheme="minorHAnsi" w:hAnsiTheme="minorHAnsi" w:cstheme="minorHAnsi"/>
        </w:rPr>
      </w:pPr>
      <w:r w:rsidRPr="00424559">
        <w:rPr>
          <w:rFonts w:asciiTheme="minorHAnsi" w:hAnsiTheme="minorHAnsi" w:cstheme="minorHAnsi"/>
        </w:rPr>
        <w:t>L</w:t>
      </w:r>
      <w:r>
        <w:rPr>
          <w:rFonts w:asciiTheme="minorHAnsi" w:hAnsiTheme="minorHAnsi" w:cstheme="minorHAnsi"/>
        </w:rPr>
        <w:t>a l</w:t>
      </w:r>
      <w:r w:rsidRPr="00424559">
        <w:rPr>
          <w:rFonts w:asciiTheme="minorHAnsi" w:hAnsiTheme="minorHAnsi" w:cstheme="minorHAnsi"/>
        </w:rPr>
        <w:t>ocalisation des sites biométhane en service</w:t>
      </w:r>
    </w:p>
    <w:p w14:paraId="07658FD0" w14:textId="77777777" w:rsidR="00B3047D" w:rsidRDefault="00424559" w:rsidP="00B3047D">
      <w:pPr>
        <w:rPr>
          <w:rFonts w:cstheme="minorHAnsi"/>
          <w:spacing w:val="-4"/>
        </w:rPr>
      </w:pPr>
      <w:r w:rsidRPr="00424559">
        <w:rPr>
          <w:rFonts w:cstheme="minorHAnsi"/>
          <w:spacing w:val="-4"/>
        </w:rPr>
        <w:t xml:space="preserve">Ce jeu de données présente la liste des points d'injection de biométhane dans les réseaux de gaz naturel en France et la capacité de production de biométhane en GWh/an. </w:t>
      </w:r>
      <w:r w:rsidR="00B3047D">
        <w:rPr>
          <w:rFonts w:cstheme="minorHAnsi"/>
          <w:spacing w:val="-4"/>
        </w:rPr>
        <w:t xml:space="preserve"> </w:t>
      </w:r>
    </w:p>
    <w:p w14:paraId="6815C245" w14:textId="11626912" w:rsidR="00B3047D" w:rsidRDefault="001C5702" w:rsidP="00B3047D">
      <w:pPr>
        <w:rPr>
          <w:rStyle w:val="Lienhypertexte"/>
          <w:spacing w:val="-4"/>
        </w:rPr>
      </w:pPr>
      <w:hyperlink r:id="rId14" w:history="1">
        <w:r w:rsidR="00FA7BBC" w:rsidRPr="0057257F">
          <w:rPr>
            <w:rStyle w:val="Lienhypertexte"/>
            <w:spacing w:val="-4"/>
          </w:rPr>
          <w:t>Points d'injection de Biométhane en France en service — Open Data Réseaux Énergies (ODRÉ) (opendatasoft.com)</w:t>
        </w:r>
      </w:hyperlink>
      <w:r w:rsidR="00B3047D">
        <w:rPr>
          <w:rStyle w:val="Lienhypertexte"/>
          <w:spacing w:val="-4"/>
        </w:rPr>
        <w:t xml:space="preserve"> </w:t>
      </w:r>
    </w:p>
    <w:p w14:paraId="34D2CBDA" w14:textId="093C7585" w:rsidR="00FA7BBC" w:rsidRPr="00B3047D" w:rsidRDefault="00B3047D" w:rsidP="00FA7BBC">
      <w:pPr>
        <w:pStyle w:val="NormalWeb"/>
        <w:shd w:val="clear" w:color="auto" w:fill="FFFFFF"/>
        <w:spacing w:before="0" w:beforeAutospacing="0" w:after="240" w:afterAutospacing="0"/>
        <w:rPr>
          <w:rFonts w:eastAsiaTheme="minorHAnsi" w:cstheme="minorHAnsi"/>
        </w:rPr>
      </w:pPr>
      <w:r w:rsidRPr="00424559">
        <w:rPr>
          <w:rFonts w:asciiTheme="minorHAnsi" w:eastAsiaTheme="minorHAnsi" w:hAnsiTheme="minorHAnsi" w:cstheme="minorHAnsi"/>
          <w:spacing w:val="-4"/>
          <w:sz w:val="22"/>
          <w:szCs w:val="22"/>
          <w:lang w:eastAsia="en-US"/>
        </w:rPr>
        <w:t xml:space="preserve">Cela concerne les points d'injection directement raccordés au réseau de distribution mais également ceux directement raccordés au réseau de transport (GRTgaz / </w:t>
      </w:r>
      <w:proofErr w:type="spellStart"/>
      <w:r w:rsidRPr="00424559">
        <w:rPr>
          <w:rFonts w:asciiTheme="minorHAnsi" w:eastAsiaTheme="minorHAnsi" w:hAnsiTheme="minorHAnsi" w:cstheme="minorHAnsi"/>
          <w:spacing w:val="-4"/>
          <w:sz w:val="22"/>
          <w:szCs w:val="22"/>
          <w:lang w:eastAsia="en-US"/>
        </w:rPr>
        <w:t>Ter</w:t>
      </w:r>
      <w:r>
        <w:rPr>
          <w:rFonts w:asciiTheme="minorHAnsi" w:eastAsiaTheme="minorHAnsi" w:hAnsiTheme="minorHAnsi" w:cstheme="minorHAnsi"/>
          <w:spacing w:val="-4"/>
          <w:sz w:val="22"/>
          <w:szCs w:val="22"/>
          <w:lang w:eastAsia="en-US"/>
        </w:rPr>
        <w:t>é</w:t>
      </w:r>
      <w:r w:rsidRPr="00424559">
        <w:rPr>
          <w:rFonts w:asciiTheme="minorHAnsi" w:eastAsiaTheme="minorHAnsi" w:hAnsiTheme="minorHAnsi" w:cstheme="minorHAnsi"/>
          <w:spacing w:val="-4"/>
          <w:sz w:val="22"/>
          <w:szCs w:val="22"/>
          <w:lang w:eastAsia="en-US"/>
        </w:rPr>
        <w:t>ga</w:t>
      </w:r>
      <w:proofErr w:type="spellEnd"/>
      <w:r w:rsidRPr="00424559">
        <w:rPr>
          <w:rFonts w:asciiTheme="minorHAnsi" w:eastAsiaTheme="minorHAnsi" w:hAnsiTheme="minorHAnsi" w:cstheme="minorHAnsi"/>
          <w:spacing w:val="-4"/>
          <w:sz w:val="22"/>
          <w:szCs w:val="22"/>
          <w:lang w:eastAsia="en-US"/>
        </w:rPr>
        <w:t>).</w:t>
      </w:r>
      <w:r>
        <w:rPr>
          <w:rFonts w:asciiTheme="minorHAnsi" w:eastAsiaTheme="minorHAnsi" w:hAnsiTheme="minorHAnsi" w:cstheme="minorHAnsi"/>
          <w:spacing w:val="-4"/>
          <w:sz w:val="22"/>
          <w:szCs w:val="22"/>
          <w:lang w:eastAsia="en-US"/>
        </w:rPr>
        <w:t xml:space="preserve"> </w:t>
      </w:r>
      <w:r w:rsidRPr="00B3047D">
        <w:rPr>
          <w:rFonts w:asciiTheme="minorHAnsi" w:eastAsiaTheme="minorHAnsi" w:hAnsiTheme="minorHAnsi" w:cstheme="minorHAnsi"/>
          <w:spacing w:val="-4"/>
          <w:sz w:val="22"/>
          <w:szCs w:val="22"/>
          <w:lang w:eastAsia="en-US"/>
        </w:rPr>
        <w:t>Ce jeu</w:t>
      </w:r>
      <w:r>
        <w:rPr>
          <w:rFonts w:asciiTheme="minorHAnsi" w:eastAsiaTheme="minorHAnsi" w:hAnsiTheme="minorHAnsi" w:cstheme="minorHAnsi"/>
          <w:spacing w:val="-4"/>
          <w:sz w:val="22"/>
          <w:szCs w:val="22"/>
          <w:lang w:eastAsia="en-US"/>
        </w:rPr>
        <w:t xml:space="preserve"> de données</w:t>
      </w:r>
      <w:r w:rsidRPr="00B3047D">
        <w:rPr>
          <w:rFonts w:asciiTheme="minorHAnsi" w:eastAsiaTheme="minorHAnsi" w:hAnsiTheme="minorHAnsi" w:cstheme="minorHAnsi"/>
          <w:spacing w:val="-4"/>
          <w:sz w:val="22"/>
          <w:szCs w:val="22"/>
          <w:lang w:eastAsia="en-US"/>
        </w:rPr>
        <w:t xml:space="preserve"> est également disponible sur le </w:t>
      </w:r>
      <w:r w:rsidRPr="00B3047D">
        <w:rPr>
          <w:rFonts w:asciiTheme="minorHAnsi" w:eastAsiaTheme="minorHAnsi" w:hAnsiTheme="minorHAnsi" w:cstheme="minorHAnsi"/>
          <w:b/>
          <w:bCs/>
          <w:spacing w:val="-4"/>
          <w:sz w:val="22"/>
          <w:szCs w:val="22"/>
          <w:u w:val="single"/>
          <w:lang w:eastAsia="en-US"/>
        </w:rPr>
        <w:t>portail cartographique des énergies renouvelables</w:t>
      </w:r>
      <w:r w:rsidRPr="00B3047D">
        <w:rPr>
          <w:rFonts w:asciiTheme="minorHAnsi" w:eastAsiaTheme="minorHAnsi" w:hAnsiTheme="minorHAnsi" w:cstheme="minorHAnsi"/>
          <w:spacing w:val="-4"/>
          <w:sz w:val="22"/>
          <w:szCs w:val="22"/>
          <w:lang w:eastAsia="en-US"/>
        </w:rPr>
        <w:t>.</w:t>
      </w:r>
    </w:p>
    <w:p w14:paraId="26129E06" w14:textId="645CA6E4" w:rsidR="009D6963" w:rsidRPr="00255F55" w:rsidRDefault="002868D3" w:rsidP="00255F55">
      <w:pPr>
        <w:pStyle w:val="Titre3"/>
        <w:rPr>
          <w:rFonts w:asciiTheme="minorHAnsi" w:hAnsiTheme="minorHAnsi" w:cstheme="minorHAnsi"/>
        </w:rPr>
      </w:pPr>
      <w:r w:rsidRPr="00255F55">
        <w:rPr>
          <w:rFonts w:asciiTheme="minorHAnsi" w:hAnsiTheme="minorHAnsi" w:cstheme="minorHAnsi"/>
        </w:rPr>
        <w:t>Les t</w:t>
      </w:r>
      <w:r w:rsidR="004D03EF" w:rsidRPr="00255F55">
        <w:rPr>
          <w:rFonts w:asciiTheme="minorHAnsi" w:hAnsiTheme="minorHAnsi" w:cstheme="minorHAnsi"/>
        </w:rPr>
        <w:t>racés d</w:t>
      </w:r>
      <w:r w:rsidR="009D6963" w:rsidRPr="00255F55">
        <w:rPr>
          <w:rFonts w:asciiTheme="minorHAnsi" w:hAnsiTheme="minorHAnsi" w:cstheme="minorHAnsi"/>
        </w:rPr>
        <w:t>es réseaux linéaires d’alimentation en énergie</w:t>
      </w:r>
    </w:p>
    <w:p w14:paraId="2781AB27" w14:textId="2ECDE5F8" w:rsidR="00CD2913" w:rsidRPr="00255F55" w:rsidRDefault="00804576" w:rsidP="00D37E02">
      <w:pPr>
        <w:rPr>
          <w:rFonts w:cstheme="minorHAnsi"/>
          <w:spacing w:val="-4"/>
        </w:rPr>
      </w:pPr>
      <w:r w:rsidRPr="00253C50">
        <w:rPr>
          <w:rFonts w:cstheme="minorHAnsi"/>
          <w:b/>
          <w:bCs/>
          <w:spacing w:val="-4"/>
        </w:rPr>
        <w:t xml:space="preserve">Les données sur le tracé des </w:t>
      </w:r>
      <w:r w:rsidRPr="00424559">
        <w:rPr>
          <w:rFonts w:cstheme="minorHAnsi"/>
          <w:b/>
          <w:bCs/>
          <w:spacing w:val="-4"/>
        </w:rPr>
        <w:t xml:space="preserve">infrastructures de distribution et de transport de gaz sont disponibles en </w:t>
      </w:r>
      <w:proofErr w:type="spellStart"/>
      <w:r w:rsidRPr="00424559">
        <w:rPr>
          <w:rFonts w:cstheme="minorHAnsi"/>
          <w:b/>
          <w:bCs/>
          <w:spacing w:val="-4"/>
        </w:rPr>
        <w:t>opendata</w:t>
      </w:r>
      <w:proofErr w:type="spellEnd"/>
      <w:r w:rsidRPr="00424559">
        <w:rPr>
          <w:rFonts w:cstheme="minorHAnsi"/>
          <w:b/>
          <w:bCs/>
          <w:spacing w:val="-4"/>
        </w:rPr>
        <w:t>.</w:t>
      </w:r>
      <w:r w:rsidRPr="00424559">
        <w:rPr>
          <w:rFonts w:cstheme="minorHAnsi"/>
          <w:spacing w:val="-4"/>
        </w:rPr>
        <w:t xml:space="preserve"> </w:t>
      </w:r>
      <w:r w:rsidR="000065FD" w:rsidRPr="00424559">
        <w:rPr>
          <w:rFonts w:cstheme="minorHAnsi"/>
          <w:spacing w:val="-4"/>
        </w:rPr>
        <w:t xml:space="preserve">Ces données peuvent être utilisées pour visualiser la présence </w:t>
      </w:r>
      <w:r w:rsidR="008C68D3" w:rsidRPr="00424559">
        <w:rPr>
          <w:rFonts w:cstheme="minorHAnsi"/>
          <w:spacing w:val="-4"/>
        </w:rPr>
        <w:t>des infrastructures permettant d’acheminer des énergies renouvelable</w:t>
      </w:r>
      <w:r w:rsidR="00BE12D0" w:rsidRPr="00424559">
        <w:rPr>
          <w:rFonts w:cstheme="minorHAnsi"/>
          <w:spacing w:val="-4"/>
        </w:rPr>
        <w:t>s des lieux de production vers les lieux de consommation.</w:t>
      </w:r>
      <w:r w:rsidR="00852A3F" w:rsidRPr="00255F55">
        <w:rPr>
          <w:rFonts w:cstheme="minorHAnsi"/>
          <w:spacing w:val="-4"/>
        </w:rPr>
        <w:t xml:space="preserve"> </w:t>
      </w:r>
      <w:r w:rsidR="00B72CB7" w:rsidRPr="00255F55">
        <w:rPr>
          <w:rFonts w:cstheme="minorHAnsi"/>
          <w:spacing w:val="-4"/>
        </w:rPr>
        <w:t xml:space="preserve">Des données équivalentes sont disponibles </w:t>
      </w:r>
      <w:r w:rsidR="00BE35B5" w:rsidRPr="00255F55">
        <w:rPr>
          <w:rFonts w:cstheme="minorHAnsi"/>
          <w:spacing w:val="-4"/>
        </w:rPr>
        <w:t xml:space="preserve">sur l’Agence ORE et ODRE </w:t>
      </w:r>
      <w:r w:rsidR="00B72CB7" w:rsidRPr="00255F55">
        <w:rPr>
          <w:rFonts w:cstheme="minorHAnsi"/>
          <w:spacing w:val="-4"/>
        </w:rPr>
        <w:t>pour les infrastructures électriques</w:t>
      </w:r>
      <w:r w:rsidR="00BE35B5" w:rsidRPr="00255F55">
        <w:rPr>
          <w:rFonts w:cstheme="minorHAnsi"/>
          <w:spacing w:val="-4"/>
        </w:rPr>
        <w:t xml:space="preserve">. Le portail cartographique français des énergies renouvelables </w:t>
      </w:r>
      <w:r w:rsidR="00714935" w:rsidRPr="00255F55">
        <w:rPr>
          <w:rFonts w:cstheme="minorHAnsi"/>
          <w:spacing w:val="-4"/>
        </w:rPr>
        <w:t>donne d’ores et déjà accès à des tracés de</w:t>
      </w:r>
      <w:r w:rsidR="00A8694A" w:rsidRPr="00255F55">
        <w:rPr>
          <w:rFonts w:cstheme="minorHAnsi"/>
          <w:spacing w:val="-4"/>
        </w:rPr>
        <w:t xml:space="preserve"> réseaux de chaleur et de froid</w:t>
      </w:r>
      <w:r w:rsidR="00B72CB7" w:rsidRPr="00255F55">
        <w:rPr>
          <w:rFonts w:cstheme="minorHAnsi"/>
          <w:spacing w:val="-4"/>
        </w:rPr>
        <w:t>.</w:t>
      </w:r>
    </w:p>
    <w:p w14:paraId="58269539" w14:textId="29C223D1" w:rsidR="00CB7553" w:rsidRPr="00255F55" w:rsidRDefault="00F34BA1" w:rsidP="00D37E02">
      <w:pPr>
        <w:rPr>
          <w:rFonts w:cstheme="minorHAnsi"/>
          <w:b/>
          <w:bCs/>
          <w:spacing w:val="-4"/>
        </w:rPr>
      </w:pPr>
      <w:r w:rsidRPr="00255F55">
        <w:rPr>
          <w:rFonts w:cstheme="minorHAnsi"/>
          <w:b/>
          <w:bCs/>
          <w:spacing w:val="-4"/>
        </w:rPr>
        <w:t xml:space="preserve">A partir de ces données en accès libre des réutilisations utiles peuvent être </w:t>
      </w:r>
      <w:r w:rsidR="00CD2913" w:rsidRPr="00255F55">
        <w:rPr>
          <w:rFonts w:cstheme="minorHAnsi"/>
          <w:b/>
          <w:bCs/>
          <w:spacing w:val="-4"/>
        </w:rPr>
        <w:t xml:space="preserve">faites : </w:t>
      </w:r>
      <w:r w:rsidR="00607A2E" w:rsidRPr="00255F55">
        <w:rPr>
          <w:rFonts w:cstheme="minorHAnsi"/>
          <w:spacing w:val="-4"/>
        </w:rPr>
        <w:t>L</w:t>
      </w:r>
      <w:r w:rsidRPr="00255F55">
        <w:rPr>
          <w:rFonts w:cstheme="minorHAnsi"/>
          <w:spacing w:val="-4"/>
        </w:rPr>
        <w:t>e calcul de « buffer</w:t>
      </w:r>
      <w:r w:rsidR="009209B8" w:rsidRPr="00255F55">
        <w:rPr>
          <w:rFonts w:cstheme="minorHAnsi"/>
          <w:spacing w:val="-4"/>
        </w:rPr>
        <w:t>s</w:t>
      </w:r>
      <w:r w:rsidRPr="00255F55">
        <w:rPr>
          <w:rFonts w:cstheme="minorHAnsi"/>
          <w:spacing w:val="-4"/>
        </w:rPr>
        <w:t> »</w:t>
      </w:r>
      <w:r w:rsidR="001A7562">
        <w:rPr>
          <w:rFonts w:cstheme="minorHAnsi"/>
          <w:spacing w:val="-4"/>
        </w:rPr>
        <w:t xml:space="preserve"> (zones tampon)</w:t>
      </w:r>
      <w:r w:rsidRPr="00255F55">
        <w:rPr>
          <w:rFonts w:cstheme="minorHAnsi"/>
          <w:spacing w:val="-4"/>
        </w:rPr>
        <w:t xml:space="preserve"> </w:t>
      </w:r>
      <w:r w:rsidR="00607A2E" w:rsidRPr="00255F55">
        <w:rPr>
          <w:rFonts w:cstheme="minorHAnsi"/>
          <w:spacing w:val="-4"/>
        </w:rPr>
        <w:t xml:space="preserve">permet de </w:t>
      </w:r>
      <w:r w:rsidR="00637836" w:rsidRPr="00255F55">
        <w:rPr>
          <w:rFonts w:cstheme="minorHAnsi"/>
          <w:spacing w:val="-4"/>
        </w:rPr>
        <w:t>représent</w:t>
      </w:r>
      <w:r w:rsidR="00607A2E" w:rsidRPr="00255F55">
        <w:rPr>
          <w:rFonts w:cstheme="minorHAnsi"/>
          <w:spacing w:val="-4"/>
        </w:rPr>
        <w:t>er</w:t>
      </w:r>
      <w:r w:rsidR="00637836" w:rsidRPr="00255F55">
        <w:rPr>
          <w:rFonts w:cstheme="minorHAnsi"/>
          <w:spacing w:val="-4"/>
        </w:rPr>
        <w:t xml:space="preserve"> la couverture territoriale de la desserte des réseaux de transport et de</w:t>
      </w:r>
      <w:r w:rsidR="00627CA8">
        <w:rPr>
          <w:rFonts w:cstheme="minorHAnsi"/>
          <w:spacing w:val="-4"/>
        </w:rPr>
        <w:t xml:space="preserve"> </w:t>
      </w:r>
      <w:r w:rsidR="00637836" w:rsidRPr="00255F55">
        <w:rPr>
          <w:rFonts w:cstheme="minorHAnsi"/>
          <w:spacing w:val="-4"/>
        </w:rPr>
        <w:t xml:space="preserve">distribution </w:t>
      </w:r>
      <w:r w:rsidR="00475E13" w:rsidRPr="00255F55">
        <w:rPr>
          <w:rFonts w:cstheme="minorHAnsi"/>
          <w:spacing w:val="-4"/>
        </w:rPr>
        <w:t>sur une largeur par exemple à 20 km</w:t>
      </w:r>
      <w:r w:rsidR="00CD2913" w:rsidRPr="00255F55">
        <w:rPr>
          <w:rFonts w:cstheme="minorHAnsi"/>
          <w:spacing w:val="-4"/>
        </w:rPr>
        <w:t xml:space="preserve"> de part et d’autre du tracé des réseaux</w:t>
      </w:r>
      <w:r w:rsidR="009209B8" w:rsidRPr="00255F55">
        <w:rPr>
          <w:rFonts w:cstheme="minorHAnsi"/>
          <w:spacing w:val="-4"/>
        </w:rPr>
        <w:t xml:space="preserve">. </w:t>
      </w:r>
      <w:r w:rsidR="00797DF8" w:rsidRPr="00255F55">
        <w:rPr>
          <w:rFonts w:cstheme="minorHAnsi"/>
          <w:b/>
          <w:bCs/>
          <w:spacing w:val="-4"/>
        </w:rPr>
        <w:t xml:space="preserve">Alors qu’une municipalité n’est pas </w:t>
      </w:r>
      <w:r w:rsidR="003C2964" w:rsidRPr="00255F55">
        <w:rPr>
          <w:rFonts w:cstheme="minorHAnsi"/>
          <w:b/>
          <w:bCs/>
          <w:spacing w:val="-4"/>
        </w:rPr>
        <w:t>traversée ni desservie par un réseau</w:t>
      </w:r>
      <w:r w:rsidR="006C1C0A" w:rsidRPr="00255F55">
        <w:rPr>
          <w:rFonts w:cstheme="minorHAnsi"/>
          <w:b/>
          <w:bCs/>
          <w:spacing w:val="-4"/>
        </w:rPr>
        <w:t xml:space="preserve"> de gaz</w:t>
      </w:r>
      <w:r w:rsidR="000D341F" w:rsidRPr="00255F55">
        <w:rPr>
          <w:rFonts w:cstheme="minorHAnsi"/>
          <w:b/>
          <w:bCs/>
          <w:spacing w:val="-4"/>
        </w:rPr>
        <w:t xml:space="preserve">, le tracé d’un </w:t>
      </w:r>
      <w:proofErr w:type="spellStart"/>
      <w:r w:rsidR="000D341F" w:rsidRPr="00255F55">
        <w:rPr>
          <w:rFonts w:cstheme="minorHAnsi"/>
          <w:b/>
          <w:bCs/>
          <w:spacing w:val="-4"/>
        </w:rPr>
        <w:t>buffer</w:t>
      </w:r>
      <w:proofErr w:type="spellEnd"/>
      <w:r w:rsidR="000D341F" w:rsidRPr="00255F55">
        <w:rPr>
          <w:rFonts w:cstheme="minorHAnsi"/>
          <w:b/>
          <w:bCs/>
          <w:spacing w:val="-4"/>
        </w:rPr>
        <w:t xml:space="preserve"> </w:t>
      </w:r>
      <w:r w:rsidR="000D341F" w:rsidRPr="00255F55">
        <w:rPr>
          <w:rFonts w:cstheme="minorHAnsi"/>
          <w:b/>
          <w:bCs/>
          <w:spacing w:val="-4"/>
        </w:rPr>
        <w:lastRenderedPageBreak/>
        <w:t xml:space="preserve">permet d’observer si elle n’est pas en réalité à une distance accessible </w:t>
      </w:r>
      <w:r w:rsidR="00B72CB7" w:rsidRPr="00255F55">
        <w:rPr>
          <w:rFonts w:cstheme="minorHAnsi"/>
          <w:b/>
          <w:bCs/>
          <w:spacing w:val="-4"/>
        </w:rPr>
        <w:t xml:space="preserve">d’un tel réseau pour y raccorder une production </w:t>
      </w:r>
      <w:r w:rsidR="006C1C0A" w:rsidRPr="00255F55">
        <w:rPr>
          <w:rFonts w:cstheme="minorHAnsi"/>
          <w:b/>
          <w:bCs/>
          <w:spacing w:val="-4"/>
        </w:rPr>
        <w:t>de biométhane</w:t>
      </w:r>
      <w:r w:rsidR="00B72CB7" w:rsidRPr="00255F55">
        <w:rPr>
          <w:rFonts w:cstheme="minorHAnsi"/>
          <w:b/>
          <w:bCs/>
          <w:spacing w:val="-4"/>
        </w:rPr>
        <w:t>.</w:t>
      </w:r>
      <w:r w:rsidR="009209B8" w:rsidRPr="00255F55">
        <w:rPr>
          <w:rFonts w:cstheme="minorHAnsi"/>
          <w:spacing w:val="-4"/>
        </w:rPr>
        <w:t xml:space="preserve"> </w:t>
      </w:r>
    </w:p>
    <w:p w14:paraId="4E823E57" w14:textId="77777777" w:rsidR="00856ED2" w:rsidRDefault="00856ED2" w:rsidP="00D37E02">
      <w:pPr>
        <w:rPr>
          <w:rFonts w:cstheme="minorHAnsi"/>
          <w:b/>
          <w:bCs/>
          <w:spacing w:val="-4"/>
          <w:u w:val="single"/>
        </w:rPr>
      </w:pPr>
    </w:p>
    <w:p w14:paraId="2F4717F3" w14:textId="755EBCE9" w:rsidR="00105201" w:rsidRPr="00253C50" w:rsidRDefault="00C02398" w:rsidP="00D37E02">
      <w:pPr>
        <w:rPr>
          <w:rFonts w:cstheme="minorHAnsi"/>
          <w:spacing w:val="-4"/>
        </w:rPr>
      </w:pPr>
      <w:r w:rsidRPr="00255F55">
        <w:rPr>
          <w:rFonts w:cstheme="minorHAnsi"/>
          <w:b/>
          <w:bCs/>
          <w:spacing w:val="-4"/>
          <w:u w:val="single"/>
        </w:rPr>
        <w:t>Le</w:t>
      </w:r>
      <w:r w:rsidR="00D67FC8" w:rsidRPr="00255F55">
        <w:rPr>
          <w:rFonts w:cstheme="minorHAnsi"/>
          <w:b/>
          <w:bCs/>
          <w:spacing w:val="-4"/>
          <w:u w:val="single"/>
        </w:rPr>
        <w:t>s données sur le</w:t>
      </w:r>
      <w:r w:rsidRPr="00255F55">
        <w:rPr>
          <w:rFonts w:cstheme="minorHAnsi"/>
          <w:b/>
          <w:bCs/>
          <w:spacing w:val="-4"/>
          <w:u w:val="single"/>
        </w:rPr>
        <w:t xml:space="preserve"> tracé des r</w:t>
      </w:r>
      <w:r w:rsidR="009D6963" w:rsidRPr="00255F55">
        <w:rPr>
          <w:rFonts w:cstheme="minorHAnsi"/>
          <w:b/>
          <w:bCs/>
          <w:spacing w:val="-4"/>
          <w:u w:val="single"/>
        </w:rPr>
        <w:t>éseaux de distribution de gaz</w:t>
      </w:r>
      <w:r w:rsidRPr="00255F55">
        <w:rPr>
          <w:rFonts w:cstheme="minorHAnsi"/>
          <w:spacing w:val="-4"/>
        </w:rPr>
        <w:t xml:space="preserve"> </w:t>
      </w:r>
      <w:r w:rsidR="00D67FC8" w:rsidRPr="00255F55">
        <w:rPr>
          <w:rFonts w:cstheme="minorHAnsi"/>
          <w:spacing w:val="-4"/>
        </w:rPr>
        <w:t>son</w:t>
      </w:r>
      <w:r w:rsidRPr="00255F55">
        <w:rPr>
          <w:rFonts w:cstheme="minorHAnsi"/>
          <w:spacing w:val="-4"/>
        </w:rPr>
        <w:t xml:space="preserve">t </w:t>
      </w:r>
      <w:r w:rsidR="00D67FC8" w:rsidRPr="00255F55">
        <w:rPr>
          <w:rFonts w:cstheme="minorHAnsi"/>
          <w:spacing w:val="-4"/>
        </w:rPr>
        <w:t>accessibles sur l’</w:t>
      </w:r>
      <w:proofErr w:type="spellStart"/>
      <w:r w:rsidR="00D67FC8" w:rsidRPr="00255F55">
        <w:rPr>
          <w:rFonts w:cstheme="minorHAnsi"/>
          <w:spacing w:val="-4"/>
        </w:rPr>
        <w:t>opendata</w:t>
      </w:r>
      <w:proofErr w:type="spellEnd"/>
      <w:r w:rsidR="00D67FC8" w:rsidRPr="00255F55">
        <w:rPr>
          <w:rFonts w:cstheme="minorHAnsi"/>
          <w:spacing w:val="-4"/>
        </w:rPr>
        <w:t xml:space="preserve"> de l’Agence ORE</w:t>
      </w:r>
      <w:r w:rsidR="00105201" w:rsidRPr="00255F55">
        <w:rPr>
          <w:rFonts w:cstheme="minorHAnsi"/>
          <w:spacing w:val="-4"/>
        </w:rPr>
        <w:t xml:space="preserve"> (jeu</w:t>
      </w:r>
      <w:r w:rsidR="00EB6671" w:rsidRPr="00255F55">
        <w:rPr>
          <w:rFonts w:cstheme="minorHAnsi"/>
          <w:spacing w:val="-4"/>
        </w:rPr>
        <w:t>x</w:t>
      </w:r>
      <w:r w:rsidR="00105201" w:rsidRPr="00255F55">
        <w:rPr>
          <w:rFonts w:cstheme="minorHAnsi"/>
          <w:spacing w:val="-4"/>
        </w:rPr>
        <w:t xml:space="preserve"> de données et visualisation cartographique)</w:t>
      </w:r>
      <w:r w:rsidR="00CB7553" w:rsidRPr="00255F55">
        <w:rPr>
          <w:rFonts w:cstheme="minorHAnsi"/>
          <w:spacing w:val="-4"/>
        </w:rPr>
        <w:t> :</w:t>
      </w:r>
      <w:r w:rsidR="00607A2E" w:rsidRPr="00255F55">
        <w:rPr>
          <w:rFonts w:cstheme="minorHAnsi"/>
          <w:spacing w:val="-4"/>
        </w:rPr>
        <w:br/>
      </w:r>
      <w:hyperlink r:id="rId15" w:history="1">
        <w:r w:rsidR="00EB6671" w:rsidRPr="00424559">
          <w:rPr>
            <w:rStyle w:val="Lienhypertexte"/>
            <w:rFonts w:cstheme="minorHAnsi"/>
            <w:spacing w:val="-4"/>
          </w:rPr>
          <w:t>Infrastructures de réseau de gaz — Agence ORE</w:t>
        </w:r>
      </w:hyperlink>
    </w:p>
    <w:p w14:paraId="1C098C46" w14:textId="47EFA334" w:rsidR="00077272" w:rsidRDefault="00EB6671" w:rsidP="00D37E02">
      <w:pPr>
        <w:rPr>
          <w:rStyle w:val="Lienhypertexte"/>
          <w:rFonts w:cstheme="minorHAnsi"/>
          <w:spacing w:val="-4"/>
        </w:rPr>
      </w:pPr>
      <w:r w:rsidRPr="00424559">
        <w:rPr>
          <w:rFonts w:cstheme="minorHAnsi"/>
          <w:b/>
          <w:bCs/>
          <w:spacing w:val="-4"/>
          <w:u w:val="single"/>
        </w:rPr>
        <w:t>Les données sur le tracé des réseaux de transport de gaz</w:t>
      </w:r>
      <w:r w:rsidRPr="00424559">
        <w:rPr>
          <w:rFonts w:cstheme="minorHAnsi"/>
          <w:spacing w:val="-4"/>
        </w:rPr>
        <w:t xml:space="preserve"> sont accessibles sur l’</w:t>
      </w:r>
      <w:proofErr w:type="spellStart"/>
      <w:r w:rsidRPr="00424559">
        <w:rPr>
          <w:rFonts w:cstheme="minorHAnsi"/>
          <w:spacing w:val="-4"/>
        </w:rPr>
        <w:t>opendata</w:t>
      </w:r>
      <w:proofErr w:type="spellEnd"/>
      <w:r w:rsidRPr="00424559">
        <w:rPr>
          <w:rFonts w:cstheme="minorHAnsi"/>
          <w:spacing w:val="-4"/>
        </w:rPr>
        <w:t xml:space="preserve"> ODRE (jeux de données et visualisation cartographique)</w:t>
      </w:r>
      <w:r w:rsidR="00CB7553" w:rsidRPr="00424559">
        <w:rPr>
          <w:rFonts w:cstheme="minorHAnsi"/>
          <w:spacing w:val="-4"/>
        </w:rPr>
        <w:t> :</w:t>
      </w:r>
      <w:r w:rsidR="00607A2E" w:rsidRPr="00424559">
        <w:rPr>
          <w:rFonts w:cstheme="minorHAnsi"/>
          <w:spacing w:val="-4"/>
        </w:rPr>
        <w:br/>
      </w:r>
      <w:hyperlink r:id="rId16" w:history="1">
        <w:r w:rsidR="00077272" w:rsidRPr="00424559">
          <w:rPr>
            <w:rStyle w:val="Lienhypertexte"/>
            <w:rFonts w:cstheme="minorHAnsi"/>
            <w:spacing w:val="-4"/>
          </w:rPr>
          <w:t>Tracé simplifié du réseau GRTgaz précis à environ 250 m (MAJ 2023) — Open Data Réseaux Énergies (ODRÉ) (opendatasoft.com)</w:t>
        </w:r>
      </w:hyperlink>
      <w:r w:rsidR="00607A2E" w:rsidRPr="00253C50">
        <w:rPr>
          <w:rFonts w:cstheme="minorHAnsi"/>
          <w:spacing w:val="-4"/>
        </w:rPr>
        <w:br/>
      </w:r>
      <w:hyperlink r:id="rId17" w:history="1">
        <w:r w:rsidR="00CB7553" w:rsidRPr="00424559">
          <w:rPr>
            <w:rStyle w:val="Lienhypertexte"/>
            <w:rFonts w:cstheme="minorHAnsi"/>
            <w:spacing w:val="-4"/>
          </w:rPr>
          <w:t xml:space="preserve">Tracé simplifié du réseau </w:t>
        </w:r>
        <w:proofErr w:type="spellStart"/>
        <w:r w:rsidR="00CB7553" w:rsidRPr="00424559">
          <w:rPr>
            <w:rStyle w:val="Lienhypertexte"/>
            <w:rFonts w:cstheme="minorHAnsi"/>
            <w:spacing w:val="-4"/>
          </w:rPr>
          <w:t>Térega</w:t>
        </w:r>
        <w:proofErr w:type="spellEnd"/>
        <w:r w:rsidR="00CB7553" w:rsidRPr="00424559">
          <w:rPr>
            <w:rStyle w:val="Lienhypertexte"/>
            <w:rFonts w:cstheme="minorHAnsi"/>
            <w:spacing w:val="-4"/>
          </w:rPr>
          <w:t xml:space="preserve"> précis à environ 250 m (MAJ 2023) — Open Data Réseaux Énergies (ODRÉ) (opendatasoft.com)</w:t>
        </w:r>
      </w:hyperlink>
    </w:p>
    <w:p w14:paraId="00733855" w14:textId="1A878D3D" w:rsidR="00255F55" w:rsidRDefault="00255F55" w:rsidP="00255F55">
      <w:pPr>
        <w:pStyle w:val="Titre2"/>
        <w:rPr>
          <w:rFonts w:asciiTheme="minorHAnsi" w:hAnsiTheme="minorHAnsi" w:cstheme="minorHAnsi"/>
          <w:spacing w:val="-4"/>
        </w:rPr>
      </w:pPr>
      <w:r>
        <w:rPr>
          <w:rFonts w:asciiTheme="minorHAnsi" w:hAnsiTheme="minorHAnsi" w:cstheme="minorHAnsi"/>
          <w:spacing w:val="-4"/>
        </w:rPr>
        <w:t>Potentiel de développement de méthaniseur</w:t>
      </w:r>
    </w:p>
    <w:p w14:paraId="786D4177" w14:textId="226BCB66" w:rsidR="00255F55" w:rsidRDefault="00255F55" w:rsidP="00255F55">
      <w:pPr>
        <w:pStyle w:val="Titre3"/>
        <w:numPr>
          <w:ilvl w:val="0"/>
          <w:numId w:val="13"/>
        </w:numPr>
        <w:rPr>
          <w:rFonts w:asciiTheme="minorHAnsi" w:hAnsiTheme="minorHAnsi" w:cstheme="minorHAnsi"/>
        </w:rPr>
      </w:pPr>
      <w:r w:rsidRPr="00255F55">
        <w:rPr>
          <w:rFonts w:asciiTheme="minorHAnsi" w:hAnsiTheme="minorHAnsi" w:cstheme="minorHAnsi"/>
        </w:rPr>
        <w:t xml:space="preserve">Potentiel de méthanisation </w:t>
      </w:r>
    </w:p>
    <w:p w14:paraId="5C3A543C" w14:textId="77777777" w:rsidR="00DC6699" w:rsidRDefault="00255F55" w:rsidP="00255F55">
      <w:pPr>
        <w:shd w:val="clear" w:color="auto" w:fill="FFFFFF"/>
        <w:spacing w:after="240" w:line="240" w:lineRule="auto"/>
        <w:rPr>
          <w:spacing w:val="-4"/>
        </w:rPr>
      </w:pPr>
      <w:r w:rsidRPr="00D37E02">
        <w:rPr>
          <w:spacing w:val="-4"/>
        </w:rPr>
        <w:t>Les</w:t>
      </w:r>
      <w:r w:rsidRPr="00347277">
        <w:rPr>
          <w:spacing w:val="-4"/>
        </w:rPr>
        <w:t xml:space="preserve"> jeu</w:t>
      </w:r>
      <w:r w:rsidRPr="00D37E02">
        <w:rPr>
          <w:spacing w:val="-4"/>
        </w:rPr>
        <w:t>x</w:t>
      </w:r>
      <w:r w:rsidRPr="00347277">
        <w:rPr>
          <w:spacing w:val="-4"/>
        </w:rPr>
        <w:t xml:space="preserve"> de données </w:t>
      </w:r>
      <w:r w:rsidRPr="00D37E02">
        <w:rPr>
          <w:spacing w:val="-4"/>
        </w:rPr>
        <w:t xml:space="preserve">(disponibles par région, département ou canton) </w:t>
      </w:r>
      <w:r w:rsidRPr="00347277">
        <w:rPr>
          <w:spacing w:val="-4"/>
        </w:rPr>
        <w:t>présente</w:t>
      </w:r>
      <w:r w:rsidRPr="00D37E02">
        <w:rPr>
          <w:spacing w:val="-4"/>
        </w:rPr>
        <w:t>nt</w:t>
      </w:r>
      <w:r w:rsidRPr="00347277">
        <w:rPr>
          <w:spacing w:val="-4"/>
        </w:rPr>
        <w:t xml:space="preserve"> la répartition </w:t>
      </w:r>
      <w:r w:rsidRPr="00D37E02">
        <w:rPr>
          <w:spacing w:val="-4"/>
        </w:rPr>
        <w:t>géographique</w:t>
      </w:r>
      <w:r w:rsidRPr="00347277">
        <w:rPr>
          <w:spacing w:val="-4"/>
        </w:rPr>
        <w:t xml:space="preserve"> des potentiels de méthanisation envisagés à l'horizon 2050 en France métropolitaine.</w:t>
      </w:r>
      <w:r w:rsidRPr="00D37E02">
        <w:rPr>
          <w:spacing w:val="-4"/>
        </w:rPr>
        <w:t xml:space="preserve"> </w:t>
      </w:r>
    </w:p>
    <w:p w14:paraId="0BB7D00B" w14:textId="77777777" w:rsidR="00DC6699" w:rsidRDefault="001C5702" w:rsidP="00255F55">
      <w:pPr>
        <w:shd w:val="clear" w:color="auto" w:fill="FFFFFF"/>
        <w:spacing w:after="240" w:line="240" w:lineRule="auto"/>
        <w:rPr>
          <w:rStyle w:val="Lienhypertexte"/>
          <w:spacing w:val="-4"/>
        </w:rPr>
      </w:pPr>
      <w:hyperlink r:id="rId18" w:history="1">
        <w:r w:rsidR="00DC6699" w:rsidRPr="00D37E02">
          <w:rPr>
            <w:rStyle w:val="Lienhypertexte"/>
            <w:spacing w:val="-4"/>
          </w:rPr>
          <w:t>Répartition des potentiels de méthanisation à horizon 2050 par canton — Open Data Réseaux Énergies (ODRÉ) (opendatasoft.com)</w:t>
        </w:r>
      </w:hyperlink>
    </w:p>
    <w:p w14:paraId="12757CED" w14:textId="63B757FF" w:rsidR="00255F55" w:rsidRPr="00D37E02" w:rsidRDefault="00255F55" w:rsidP="00255F55">
      <w:pPr>
        <w:shd w:val="clear" w:color="auto" w:fill="FFFFFF"/>
        <w:spacing w:after="240" w:line="240" w:lineRule="auto"/>
        <w:rPr>
          <w:spacing w:val="-4"/>
        </w:rPr>
      </w:pPr>
      <w:r w:rsidRPr="00347277">
        <w:rPr>
          <w:spacing w:val="-4"/>
        </w:rPr>
        <w:t xml:space="preserve">Ces données ont été produites en 2017 par l’association </w:t>
      </w:r>
      <w:proofErr w:type="spellStart"/>
      <w:r w:rsidRPr="00347277">
        <w:rPr>
          <w:spacing w:val="-4"/>
        </w:rPr>
        <w:t>Solagro</w:t>
      </w:r>
      <w:proofErr w:type="spellEnd"/>
      <w:r w:rsidRPr="00347277">
        <w:rPr>
          <w:spacing w:val="-4"/>
        </w:rPr>
        <w:t xml:space="preserve"> lors de la réalisation de l'étude "</w:t>
      </w:r>
      <w:hyperlink r:id="rId19" w:history="1">
        <w:r w:rsidRPr="00347277">
          <w:rPr>
            <w:spacing w:val="-4"/>
          </w:rPr>
          <w:t>Un mix de gaz 100% renouvelable en 2050 ?</w:t>
        </w:r>
      </w:hyperlink>
      <w:r w:rsidRPr="00347277">
        <w:rPr>
          <w:spacing w:val="-4"/>
        </w:rPr>
        <w:t>" publiée en février 2018 par l'ADEME, GRDF et GRTgaz.</w:t>
      </w:r>
    </w:p>
    <w:p w14:paraId="7FCB4BEF" w14:textId="674961B6" w:rsidR="00255F55" w:rsidRPr="00255F55" w:rsidRDefault="00255F55" w:rsidP="00255F55">
      <w:pPr>
        <w:shd w:val="clear" w:color="auto" w:fill="FFFFFF"/>
        <w:spacing w:after="240" w:line="240" w:lineRule="auto"/>
        <w:rPr>
          <w:spacing w:val="-4"/>
        </w:rPr>
      </w:pPr>
      <w:r w:rsidRPr="00347277">
        <w:rPr>
          <w:spacing w:val="-4"/>
        </w:rPr>
        <w:t>Elles regroupent</w:t>
      </w:r>
      <w:r w:rsidRPr="00D37E02">
        <w:rPr>
          <w:spacing w:val="-4"/>
        </w:rPr>
        <w:t xml:space="preserve"> </w:t>
      </w:r>
      <w:r w:rsidRPr="00347277">
        <w:rPr>
          <w:spacing w:val="-4"/>
        </w:rPr>
        <w:t xml:space="preserve">les potentiels accessibles par les ressources primaires suivantes : les résidus de cultures, les déjections d'élevage, les herbes, les Cultures intermédiaires multi-services environnementaux ou CIMSE, les résidus des industries agro-alimentaires (IAA), les </w:t>
      </w:r>
      <w:proofErr w:type="spellStart"/>
      <w:r w:rsidRPr="00347277">
        <w:rPr>
          <w:spacing w:val="-4"/>
        </w:rPr>
        <w:t>bio-déchets</w:t>
      </w:r>
      <w:proofErr w:type="spellEnd"/>
      <w:r w:rsidRPr="00347277">
        <w:rPr>
          <w:spacing w:val="-4"/>
        </w:rPr>
        <w:t> en GWh PCS.</w:t>
      </w:r>
      <w:r w:rsidR="00DC6699">
        <w:rPr>
          <w:spacing w:val="-4"/>
        </w:rPr>
        <w:t xml:space="preserve"> </w:t>
      </w:r>
      <w:r w:rsidR="003B63F5">
        <w:rPr>
          <w:spacing w:val="-4"/>
        </w:rPr>
        <w:br/>
      </w:r>
      <w:r w:rsidR="00DC6699" w:rsidRPr="00B3047D">
        <w:rPr>
          <w:rFonts w:cstheme="minorHAnsi"/>
          <w:spacing w:val="-4"/>
        </w:rPr>
        <w:t>Ce jeu</w:t>
      </w:r>
      <w:r w:rsidR="00DC6699">
        <w:rPr>
          <w:rFonts w:cstheme="minorHAnsi"/>
          <w:spacing w:val="-4"/>
        </w:rPr>
        <w:t xml:space="preserve"> de données</w:t>
      </w:r>
      <w:r w:rsidR="00DC6699" w:rsidRPr="00B3047D">
        <w:rPr>
          <w:rFonts w:cstheme="minorHAnsi"/>
          <w:spacing w:val="-4"/>
        </w:rPr>
        <w:t xml:space="preserve"> est également disponible sur le </w:t>
      </w:r>
      <w:r w:rsidR="00DC6699" w:rsidRPr="00B3047D">
        <w:rPr>
          <w:rFonts w:cstheme="minorHAnsi"/>
          <w:b/>
          <w:bCs/>
          <w:spacing w:val="-4"/>
          <w:u w:val="single"/>
        </w:rPr>
        <w:t>portail cartographique des énergies renouvelables</w:t>
      </w:r>
      <w:r w:rsidR="00DC6699" w:rsidRPr="00B3047D">
        <w:rPr>
          <w:rFonts w:cstheme="minorHAnsi"/>
          <w:spacing w:val="-4"/>
        </w:rPr>
        <w:t>.</w:t>
      </w:r>
      <w:r>
        <w:rPr>
          <w:spacing w:val="-4"/>
        </w:rPr>
        <w:br/>
      </w:r>
    </w:p>
    <w:p w14:paraId="1D44CDBD" w14:textId="77DCC53C" w:rsidR="00856ED2" w:rsidRPr="00856ED2" w:rsidRDefault="00255F55" w:rsidP="00027683">
      <w:pPr>
        <w:pStyle w:val="Titre3"/>
        <w:numPr>
          <w:ilvl w:val="0"/>
          <w:numId w:val="13"/>
        </w:numPr>
      </w:pPr>
      <w:r w:rsidRPr="003B63F5">
        <w:rPr>
          <w:rFonts w:asciiTheme="minorHAnsi" w:hAnsiTheme="minorHAnsi" w:cstheme="minorHAnsi"/>
        </w:rPr>
        <w:t xml:space="preserve">Droit à l’injection, critères technico économiques </w:t>
      </w:r>
    </w:p>
    <w:p w14:paraId="349F1A91" w14:textId="77777777" w:rsidR="00255F55" w:rsidRPr="00D37E02" w:rsidRDefault="00255F55" w:rsidP="00255F55">
      <w:pPr>
        <w:pStyle w:val="NormalWeb"/>
        <w:shd w:val="clear" w:color="auto" w:fill="FFFFFF"/>
        <w:spacing w:before="0" w:beforeAutospacing="0" w:after="240" w:afterAutospacing="0"/>
        <w:rPr>
          <w:rFonts w:asciiTheme="minorHAnsi" w:eastAsiaTheme="minorHAnsi" w:hAnsiTheme="minorHAnsi" w:cstheme="minorBidi"/>
          <w:spacing w:val="-4"/>
          <w:sz w:val="22"/>
          <w:szCs w:val="22"/>
          <w:lang w:eastAsia="en-US"/>
        </w:rPr>
      </w:pPr>
      <w:r w:rsidRPr="00D37E02">
        <w:rPr>
          <w:rFonts w:asciiTheme="minorHAnsi" w:eastAsiaTheme="minorHAnsi" w:hAnsiTheme="minorHAnsi" w:cstheme="minorBidi"/>
          <w:spacing w:val="-4"/>
          <w:sz w:val="22"/>
          <w:szCs w:val="22"/>
          <w:lang w:eastAsia="en-US"/>
        </w:rPr>
        <w:t>Le décret « droit à l’injection » et sa mise en application dans la délibération N°2019-242 de la Commission de Régulation de l’Energie (CRE) encadrent l’insertion du biométhane dans les réseaux de gaz. Les opérateurs de réseaux doivent se concerter pour définir le raccordement optimal des projets d’injection d’une zone en minimisant les coûts d’adaptation des réseaux pour la collectivité.</w:t>
      </w:r>
    </w:p>
    <w:p w14:paraId="51DC3E92" w14:textId="152A764F" w:rsidR="00856ED2" w:rsidRDefault="00255F55" w:rsidP="00856ED2">
      <w:pPr>
        <w:pStyle w:val="NormalWeb"/>
        <w:shd w:val="clear" w:color="auto" w:fill="FFFFFF"/>
        <w:spacing w:before="0" w:beforeAutospacing="0" w:after="240" w:afterAutospacing="0"/>
        <w:rPr>
          <w:rStyle w:val="Lienhypertexte"/>
          <w:rFonts w:asciiTheme="minorHAnsi" w:eastAsiaTheme="minorHAnsi" w:hAnsiTheme="minorHAnsi" w:cstheme="minorBidi"/>
          <w:spacing w:val="-4"/>
          <w:sz w:val="22"/>
          <w:szCs w:val="22"/>
          <w:lang w:eastAsia="en-US"/>
        </w:rPr>
      </w:pPr>
      <w:r w:rsidRPr="00D37E02">
        <w:rPr>
          <w:rFonts w:asciiTheme="minorHAnsi" w:eastAsiaTheme="minorHAnsi" w:hAnsiTheme="minorHAnsi" w:cstheme="minorBidi"/>
          <w:spacing w:val="-4"/>
          <w:sz w:val="22"/>
          <w:szCs w:val="22"/>
          <w:lang w:eastAsia="en-US"/>
        </w:rPr>
        <w:t>Les coûts d’adaptations de réseau, selon les critères technico-économiques définis par le décret « droit à l’injection » peuvent être, dans certaines conditions, pris en charge par les opérateurs de réseau. À titre indicatif et non prescriptif, les opérateurs mettent à disposition une cartographie des conditions d’accès au réseau. Cette cartographie indique un premier ordre de grandeur du critère technico-économique : plus la valeur de ce critère est basse, meilleures sont les possibilités pour les opérateurs de réseau de réaliser des renforcements pour accueillir du biométhane sur la zone.</w:t>
      </w:r>
      <w:r w:rsidR="00856ED2">
        <w:rPr>
          <w:rFonts w:asciiTheme="minorHAnsi" w:eastAsiaTheme="minorHAnsi" w:hAnsiTheme="minorHAnsi" w:cstheme="minorBidi"/>
          <w:spacing w:val="-4"/>
          <w:sz w:val="22"/>
          <w:szCs w:val="22"/>
          <w:lang w:eastAsia="en-US"/>
        </w:rPr>
        <w:t xml:space="preserve"> </w:t>
      </w:r>
      <w:r w:rsidR="00856ED2">
        <w:rPr>
          <w:rFonts w:asciiTheme="minorHAnsi" w:eastAsiaTheme="minorHAnsi" w:hAnsiTheme="minorHAnsi" w:cstheme="minorBidi"/>
          <w:spacing w:val="-4"/>
          <w:sz w:val="22"/>
          <w:szCs w:val="22"/>
          <w:lang w:eastAsia="en-US"/>
        </w:rPr>
        <w:br/>
      </w:r>
      <w:hyperlink r:id="rId20" w:history="1">
        <w:r w:rsidR="00856ED2" w:rsidRPr="0057257F">
          <w:rPr>
            <w:rStyle w:val="Lienhypertexte"/>
            <w:rFonts w:asciiTheme="minorHAnsi" w:eastAsiaTheme="minorHAnsi" w:hAnsiTheme="minorHAnsi" w:cstheme="minorBidi"/>
            <w:spacing w:val="-4"/>
            <w:sz w:val="22"/>
            <w:szCs w:val="22"/>
            <w:lang w:eastAsia="en-US"/>
          </w:rPr>
          <w:t>Cartographie biométhane d’accès aux réseaux — Open Data Réseaux Énergies (ODRÉ) (opendatasoft.com)</w:t>
        </w:r>
      </w:hyperlink>
    </w:p>
    <w:p w14:paraId="69FA8EB4" w14:textId="77777777" w:rsidR="00856ED2" w:rsidRPr="00B3047D" w:rsidRDefault="00856ED2" w:rsidP="00856ED2">
      <w:pPr>
        <w:pStyle w:val="NormalWeb"/>
        <w:shd w:val="clear" w:color="auto" w:fill="FFFFFF"/>
        <w:spacing w:before="0" w:beforeAutospacing="0" w:after="240" w:afterAutospacing="0"/>
        <w:rPr>
          <w:rFonts w:eastAsiaTheme="minorHAnsi" w:cstheme="minorHAnsi"/>
        </w:rPr>
      </w:pPr>
      <w:r w:rsidRPr="00B3047D">
        <w:rPr>
          <w:rFonts w:asciiTheme="minorHAnsi" w:eastAsiaTheme="minorHAnsi" w:hAnsiTheme="minorHAnsi" w:cstheme="minorHAnsi"/>
          <w:spacing w:val="-4"/>
          <w:sz w:val="22"/>
          <w:szCs w:val="22"/>
          <w:lang w:eastAsia="en-US"/>
        </w:rPr>
        <w:t>Ce jeu</w:t>
      </w:r>
      <w:r>
        <w:rPr>
          <w:rFonts w:asciiTheme="minorHAnsi" w:eastAsiaTheme="minorHAnsi" w:hAnsiTheme="minorHAnsi" w:cstheme="minorHAnsi"/>
          <w:spacing w:val="-4"/>
          <w:sz w:val="22"/>
          <w:szCs w:val="22"/>
          <w:lang w:eastAsia="en-US"/>
        </w:rPr>
        <w:t xml:space="preserve"> de données</w:t>
      </w:r>
      <w:r w:rsidRPr="00B3047D">
        <w:rPr>
          <w:rFonts w:asciiTheme="minorHAnsi" w:eastAsiaTheme="minorHAnsi" w:hAnsiTheme="minorHAnsi" w:cstheme="minorHAnsi"/>
          <w:spacing w:val="-4"/>
          <w:sz w:val="22"/>
          <w:szCs w:val="22"/>
          <w:lang w:eastAsia="en-US"/>
        </w:rPr>
        <w:t xml:space="preserve"> est également disponible sur le </w:t>
      </w:r>
      <w:r w:rsidRPr="00B3047D">
        <w:rPr>
          <w:rFonts w:asciiTheme="minorHAnsi" w:eastAsiaTheme="minorHAnsi" w:hAnsiTheme="minorHAnsi" w:cstheme="minorHAnsi"/>
          <w:b/>
          <w:bCs/>
          <w:spacing w:val="-4"/>
          <w:sz w:val="22"/>
          <w:szCs w:val="22"/>
          <w:u w:val="single"/>
          <w:lang w:eastAsia="en-US"/>
        </w:rPr>
        <w:t>portail cartographique des énergies renouvelables</w:t>
      </w:r>
      <w:r w:rsidRPr="00B3047D">
        <w:rPr>
          <w:rFonts w:asciiTheme="minorHAnsi" w:eastAsiaTheme="minorHAnsi" w:hAnsiTheme="minorHAnsi" w:cstheme="minorHAnsi"/>
          <w:spacing w:val="-4"/>
          <w:sz w:val="22"/>
          <w:szCs w:val="22"/>
          <w:lang w:eastAsia="en-US"/>
        </w:rPr>
        <w:t>.</w:t>
      </w:r>
    </w:p>
    <w:p w14:paraId="13566B4A" w14:textId="77777777" w:rsidR="00856ED2" w:rsidRDefault="00856ED2" w:rsidP="00856ED2">
      <w:pPr>
        <w:pStyle w:val="Titre3"/>
        <w:numPr>
          <w:ilvl w:val="0"/>
          <w:numId w:val="0"/>
        </w:numPr>
        <w:ind w:left="720"/>
        <w:rPr>
          <w:rFonts w:asciiTheme="minorHAnsi" w:hAnsiTheme="minorHAnsi" w:cstheme="minorHAnsi"/>
        </w:rPr>
      </w:pPr>
    </w:p>
    <w:p w14:paraId="7A561030" w14:textId="3EC7D580" w:rsidR="00255F55" w:rsidRDefault="00255F55" w:rsidP="00255F55">
      <w:pPr>
        <w:pStyle w:val="Titre3"/>
        <w:numPr>
          <w:ilvl w:val="0"/>
          <w:numId w:val="13"/>
        </w:numPr>
        <w:rPr>
          <w:rFonts w:asciiTheme="minorHAnsi" w:hAnsiTheme="minorHAnsi" w:cstheme="minorHAnsi"/>
        </w:rPr>
      </w:pPr>
      <w:r w:rsidRPr="00255F55">
        <w:rPr>
          <w:rFonts w:asciiTheme="minorHAnsi" w:hAnsiTheme="minorHAnsi" w:cstheme="minorHAnsi"/>
        </w:rPr>
        <w:t>Calcul de buffers de proximité des infrastructures de transport et distribution de gaz, pour le biométhane</w:t>
      </w:r>
    </w:p>
    <w:p w14:paraId="7EECE180" w14:textId="77777777" w:rsidR="00856ED2" w:rsidRPr="00856ED2" w:rsidRDefault="00856ED2" w:rsidP="00856ED2"/>
    <w:p w14:paraId="6AEE7ACD" w14:textId="352D174C" w:rsidR="00255F55" w:rsidRDefault="00255F55" w:rsidP="00255F55">
      <w:pPr>
        <w:rPr>
          <w:b/>
          <w:bCs/>
          <w:spacing w:val="-4"/>
        </w:rPr>
      </w:pPr>
      <w:r>
        <w:rPr>
          <w:b/>
          <w:bCs/>
          <w:spacing w:val="-4"/>
        </w:rPr>
        <w:t xml:space="preserve">A partir des données en accès libre sur le tracé des réseaux de transport et de distribution,  la représentation de « buffers » permet d’illustrer la couverture territoriale de la desserte des réseaux de transport et de distribution sur une largeur de 10 ou de 20 km de part et d’autre du tracé des réseaux. </w:t>
      </w:r>
    </w:p>
    <w:p w14:paraId="59E9F47F" w14:textId="77777777" w:rsidR="00255F55" w:rsidRDefault="00255F55" w:rsidP="00255F55">
      <w:pPr>
        <w:rPr>
          <w:spacing w:val="-4"/>
        </w:rPr>
      </w:pPr>
      <w:r>
        <w:rPr>
          <w:spacing w:val="-4"/>
        </w:rPr>
        <w:t xml:space="preserve">Alors qu’une municipalité n’est pas traversée ni desservie par un réseau, le tracé d’un « buffer » permet d’observer si elle n’est pas en réalité à une distance accessible d’un tel réseau pour y raccorder une production de biométhane. </w:t>
      </w:r>
    </w:p>
    <w:p w14:paraId="7F5586DF" w14:textId="1A621773" w:rsidR="00255F55" w:rsidRDefault="00255F55" w:rsidP="00255F55">
      <w:pPr>
        <w:rPr>
          <w:spacing w:val="-4"/>
        </w:rPr>
      </w:pPr>
      <w:r w:rsidRPr="005A71E3">
        <w:rPr>
          <w:b/>
          <w:bCs/>
          <w:spacing w:val="-4"/>
        </w:rPr>
        <w:t>Les gestionnaires des réseaux de transport et de distribution de gaz mettent à disposition ces  « buffers de proximité »</w:t>
      </w:r>
      <w:r>
        <w:rPr>
          <w:b/>
          <w:bCs/>
          <w:spacing w:val="-4"/>
        </w:rPr>
        <w:t xml:space="preserve"> </w:t>
      </w:r>
      <w:r w:rsidRPr="005A71E3">
        <w:rPr>
          <w:b/>
          <w:bCs/>
          <w:spacing w:val="-4"/>
        </w:rPr>
        <w:t>dans les jeux de données de</w:t>
      </w:r>
      <w:r>
        <w:rPr>
          <w:b/>
          <w:bCs/>
          <w:spacing w:val="-4"/>
        </w:rPr>
        <w:t xml:space="preserve"> l’</w:t>
      </w:r>
      <w:proofErr w:type="spellStart"/>
      <w:r w:rsidRPr="005A71E3">
        <w:rPr>
          <w:b/>
          <w:bCs/>
          <w:spacing w:val="-4"/>
        </w:rPr>
        <w:t>opendata</w:t>
      </w:r>
      <w:proofErr w:type="spellEnd"/>
      <w:r w:rsidRPr="005A71E3">
        <w:rPr>
          <w:b/>
          <w:bCs/>
          <w:spacing w:val="-4"/>
        </w:rPr>
        <w:t xml:space="preserve"> ODRE</w:t>
      </w:r>
      <w:r w:rsidR="00151D25">
        <w:rPr>
          <w:spacing w:val="-4"/>
        </w:rPr>
        <w:t>.</w:t>
      </w:r>
    </w:p>
    <w:p w14:paraId="6DEC8A47" w14:textId="77777777" w:rsidR="00C64E79" w:rsidRDefault="00C64E79" w:rsidP="00C64E79">
      <w:pPr>
        <w:rPr>
          <w:spacing w:val="-4"/>
        </w:rPr>
      </w:pPr>
    </w:p>
    <w:p w14:paraId="2681BC55" w14:textId="77777777" w:rsidR="00C64E79" w:rsidRDefault="001C5702" w:rsidP="00C64E79">
      <w:hyperlink r:id="rId21" w:history="1">
        <w:r w:rsidR="00C64E79">
          <w:rPr>
            <w:rStyle w:val="Lienhypertexte"/>
          </w:rPr>
          <w:t>Corridor de largeur 10 km de part et d’autre du réseau de distribution de gaz — Open Data Réseaux Énergies (ODRÉ) (opendatasoft.com)</w:t>
        </w:r>
      </w:hyperlink>
    </w:p>
    <w:p w14:paraId="5A22CA24" w14:textId="77777777" w:rsidR="00C64E79" w:rsidRDefault="00C64E79" w:rsidP="00C64E79"/>
    <w:p w14:paraId="03B1A8F0" w14:textId="77777777" w:rsidR="00C64E79" w:rsidRDefault="001C5702" w:rsidP="00C64E79">
      <w:hyperlink r:id="rId22" w:history="1">
        <w:r w:rsidR="00C64E79">
          <w:rPr>
            <w:rStyle w:val="Lienhypertexte"/>
          </w:rPr>
          <w:t>Corridor de largeur 10 km de part et d’autre du réseau de transport de gaz — Open Data Réseaux Énergies (ODRÉ) (opendatasoft.com)</w:t>
        </w:r>
      </w:hyperlink>
    </w:p>
    <w:p w14:paraId="51AABB34" w14:textId="77777777" w:rsidR="00C64E79" w:rsidRDefault="00C64E79" w:rsidP="00C64E79"/>
    <w:p w14:paraId="1DDCA6B0" w14:textId="77777777" w:rsidR="00C64E79" w:rsidRDefault="001C5702" w:rsidP="00C64E79">
      <w:hyperlink r:id="rId23" w:history="1">
        <w:r w:rsidR="00C64E79">
          <w:rPr>
            <w:rStyle w:val="Lienhypertexte"/>
          </w:rPr>
          <w:t>Corridor de largeur 20 km de part et d’autre du réseau de distribution de gaz — Open Data Réseaux Énergies (ODRÉ) (opendatasoft.com)</w:t>
        </w:r>
      </w:hyperlink>
    </w:p>
    <w:p w14:paraId="34F37DE3" w14:textId="77777777" w:rsidR="00C64E79" w:rsidRDefault="00C64E79" w:rsidP="00C64E79"/>
    <w:p w14:paraId="7C314008" w14:textId="77777777" w:rsidR="00C64E79" w:rsidRDefault="001C5702" w:rsidP="00C64E79">
      <w:pPr>
        <w:pStyle w:val="TableContents"/>
        <w:rPr>
          <w:rFonts w:hint="eastAsia"/>
          <w:strike/>
        </w:rPr>
      </w:pPr>
      <w:hyperlink r:id="rId24" w:history="1">
        <w:r w:rsidR="00C64E79">
          <w:rPr>
            <w:rStyle w:val="Lienhypertexte"/>
          </w:rPr>
          <w:t>Corridor de largeur 20 km de part et d’autre du réseau de transport de gaz — Open Data Réseaux Énergies (ODRÉ) (opendatasoft.com)</w:t>
        </w:r>
      </w:hyperlink>
    </w:p>
    <w:p w14:paraId="56653228" w14:textId="626F9679" w:rsidR="00255F55" w:rsidRDefault="00255F55" w:rsidP="00255F55">
      <w:pPr>
        <w:rPr>
          <w:rStyle w:val="Lienhypertexte"/>
        </w:rPr>
      </w:pPr>
    </w:p>
    <w:sectPr w:rsidR="00255F55">
      <w:headerReference w:type="default" r:id="rId25"/>
      <w:footerReference w:type="even" r:id="rId26"/>
      <w:footerReference w:type="defaul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2865" w14:textId="77777777" w:rsidR="001C5702" w:rsidRDefault="001C5702" w:rsidP="009D6963">
      <w:pPr>
        <w:spacing w:after="0" w:line="240" w:lineRule="auto"/>
      </w:pPr>
      <w:r>
        <w:separator/>
      </w:r>
    </w:p>
  </w:endnote>
  <w:endnote w:type="continuationSeparator" w:id="0">
    <w:p w14:paraId="32DB8440" w14:textId="77777777" w:rsidR="001C5702" w:rsidRDefault="001C5702" w:rsidP="009D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E2C" w14:textId="360146A6" w:rsidR="009D6963" w:rsidRDefault="009D69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2A1B" w14:textId="35BD30AE" w:rsidR="009D6963" w:rsidRDefault="009D69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1F96" w14:textId="3490E565" w:rsidR="009D6963" w:rsidRDefault="009D69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14C2" w14:textId="77777777" w:rsidR="001C5702" w:rsidRDefault="001C5702" w:rsidP="009D6963">
      <w:pPr>
        <w:spacing w:after="0" w:line="240" w:lineRule="auto"/>
      </w:pPr>
      <w:r>
        <w:separator/>
      </w:r>
    </w:p>
  </w:footnote>
  <w:footnote w:type="continuationSeparator" w:id="0">
    <w:p w14:paraId="0340C034" w14:textId="77777777" w:rsidR="001C5702" w:rsidRDefault="001C5702" w:rsidP="009D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324A" w14:textId="66595429" w:rsidR="00BA4526" w:rsidRDefault="00BA4526">
    <w:pPr>
      <w:pStyle w:val="En-tte"/>
    </w:pPr>
    <w:r>
      <w:rPr>
        <w:noProof/>
      </w:rPr>
      <w:drawing>
        <wp:inline distT="0" distB="0" distL="0" distR="0" wp14:anchorId="44DFA7E8" wp14:editId="3527F34F">
          <wp:extent cx="967740" cy="4572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972896" cy="459636"/>
                  </a:xfrm>
                  <a:prstGeom prst="rect">
                    <a:avLst/>
                  </a:prstGeom>
                </pic:spPr>
              </pic:pic>
            </a:graphicData>
          </a:graphic>
        </wp:inline>
      </w:drawing>
    </w:r>
    <w:r>
      <w:t xml:space="preserve">    </w:t>
    </w:r>
    <w:r>
      <w:rPr>
        <w:noProof/>
      </w:rPr>
      <w:drawing>
        <wp:inline distT="0" distB="0" distL="0" distR="0" wp14:anchorId="62FCF3F1" wp14:editId="0B8CED99">
          <wp:extent cx="1352550" cy="502273"/>
          <wp:effectExtent l="0" t="0" r="0" b="0"/>
          <wp:docPr id="8" name="Image 8" descr="Une image contenant Graphique, cercl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cercle, logo,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67403" cy="507789"/>
                  </a:xfrm>
                  <a:prstGeom prst="rect">
                    <a:avLst/>
                  </a:prstGeom>
                </pic:spPr>
              </pic:pic>
            </a:graphicData>
          </a:graphic>
        </wp:inline>
      </w:drawing>
    </w:r>
    <w:r>
      <w:t xml:space="preserve"> </w:t>
    </w:r>
    <w:r>
      <w:rPr>
        <w:noProof/>
      </w:rPr>
      <w:drawing>
        <wp:inline distT="0" distB="0" distL="0" distR="0" wp14:anchorId="0E1C649F" wp14:editId="23DDD2F1">
          <wp:extent cx="876300" cy="440397"/>
          <wp:effectExtent l="0" t="0" r="0" b="0"/>
          <wp:docPr id="55" name="Image 55" descr="Une image contenant symbol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Une image contenant symbole, logo, Police, Graphiqu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885986" cy="445265"/>
                  </a:xfrm>
                  <a:prstGeom prst="rect">
                    <a:avLst/>
                  </a:prstGeom>
                </pic:spPr>
              </pic:pic>
            </a:graphicData>
          </a:graphic>
        </wp:inline>
      </w:drawing>
    </w:r>
    <w:r>
      <w:t xml:space="preserve">           </w:t>
    </w:r>
    <w:r>
      <w:rPr>
        <w:noProof/>
      </w:rPr>
      <w:drawing>
        <wp:inline distT="0" distB="0" distL="0" distR="0" wp14:anchorId="4C75EF61" wp14:editId="636D2B49">
          <wp:extent cx="791179" cy="377190"/>
          <wp:effectExtent l="0" t="0" r="9525" b="3810"/>
          <wp:docPr id="10"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804399" cy="383493"/>
                  </a:xfrm>
                  <a:prstGeom prst="rect">
                    <a:avLst/>
                  </a:prstGeom>
                </pic:spPr>
              </pic:pic>
            </a:graphicData>
          </a:graphic>
        </wp:inline>
      </w:drawing>
    </w:r>
    <w:r>
      <w:t xml:space="preserve">          </w:t>
    </w:r>
    <w:r>
      <w:rPr>
        <w:noProof/>
      </w:rPr>
      <w:t xml:space="preserve">   </w:t>
    </w:r>
    <w:r>
      <w:rPr>
        <w:noProof/>
      </w:rPr>
      <w:drawing>
        <wp:inline distT="0" distB="0" distL="0" distR="0" wp14:anchorId="2CD3964F" wp14:editId="7E9D1FD2">
          <wp:extent cx="838200" cy="709659"/>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841895" cy="712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740C"/>
    <w:multiLevelType w:val="hybridMultilevel"/>
    <w:tmpl w:val="A692C3E8"/>
    <w:lvl w:ilvl="0" w:tplc="4C0496A2">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831015"/>
    <w:multiLevelType w:val="hybridMultilevel"/>
    <w:tmpl w:val="55A89ACE"/>
    <w:lvl w:ilvl="0" w:tplc="55FC37A8">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EA9657B"/>
    <w:multiLevelType w:val="multilevel"/>
    <w:tmpl w:val="FBB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1"/>
    <w:lvlOverride w:ilvl="0">
      <w:startOverride w:val="1"/>
    </w:lvlOverride>
  </w:num>
  <w:num w:numId="5">
    <w:abstractNumId w:val="0"/>
  </w:num>
  <w:num w:numId="6">
    <w:abstractNumId w:val="0"/>
  </w:num>
  <w:num w:numId="7">
    <w:abstractNumId w:val="0"/>
  </w:num>
  <w:num w:numId="8">
    <w:abstractNumId w:val="0"/>
  </w:num>
  <w:num w:numId="9">
    <w:abstractNumId w:val="1"/>
  </w:num>
  <w:num w:numId="10">
    <w:abstractNumId w:val="1"/>
  </w:num>
  <w:num w:numId="11">
    <w:abstractNumId w:val="1"/>
    <w:lvlOverride w:ilvl="0">
      <w:startOverride w:val="1"/>
    </w:lvlOverride>
  </w:num>
  <w:num w:numId="12">
    <w:abstractNumId w:val="0"/>
  </w:num>
  <w:num w:numId="13">
    <w:abstractNumId w:val="0"/>
    <w:lvlOverride w:ilvl="0">
      <w:startOverride w:val="1"/>
    </w:lvlOverride>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63"/>
    <w:rsid w:val="00005AE1"/>
    <w:rsid w:val="000065FD"/>
    <w:rsid w:val="00015C31"/>
    <w:rsid w:val="00026724"/>
    <w:rsid w:val="00037D81"/>
    <w:rsid w:val="00053751"/>
    <w:rsid w:val="00077272"/>
    <w:rsid w:val="000B710E"/>
    <w:rsid w:val="000D341F"/>
    <w:rsid w:val="000F566C"/>
    <w:rsid w:val="0010158D"/>
    <w:rsid w:val="00105201"/>
    <w:rsid w:val="00151D25"/>
    <w:rsid w:val="00184EA1"/>
    <w:rsid w:val="001A7562"/>
    <w:rsid w:val="001B76A9"/>
    <w:rsid w:val="001C4AF6"/>
    <w:rsid w:val="001C5702"/>
    <w:rsid w:val="001E66B9"/>
    <w:rsid w:val="00214558"/>
    <w:rsid w:val="00233105"/>
    <w:rsid w:val="00253C50"/>
    <w:rsid w:val="00255F55"/>
    <w:rsid w:val="00273D98"/>
    <w:rsid w:val="002868D3"/>
    <w:rsid w:val="002A51E2"/>
    <w:rsid w:val="00304234"/>
    <w:rsid w:val="00347277"/>
    <w:rsid w:val="003B63F5"/>
    <w:rsid w:val="003C2964"/>
    <w:rsid w:val="00411633"/>
    <w:rsid w:val="00424559"/>
    <w:rsid w:val="0043177E"/>
    <w:rsid w:val="00442F70"/>
    <w:rsid w:val="004721B8"/>
    <w:rsid w:val="00473F11"/>
    <w:rsid w:val="00475E13"/>
    <w:rsid w:val="004A7B36"/>
    <w:rsid w:val="004B28C3"/>
    <w:rsid w:val="004C2CA7"/>
    <w:rsid w:val="004D03EF"/>
    <w:rsid w:val="004F160F"/>
    <w:rsid w:val="00525F75"/>
    <w:rsid w:val="0057257F"/>
    <w:rsid w:val="0059580A"/>
    <w:rsid w:val="005A6DF4"/>
    <w:rsid w:val="005C79A6"/>
    <w:rsid w:val="0060672C"/>
    <w:rsid w:val="00607A2E"/>
    <w:rsid w:val="00627CA8"/>
    <w:rsid w:val="00633D46"/>
    <w:rsid w:val="00637836"/>
    <w:rsid w:val="00672753"/>
    <w:rsid w:val="00677EC2"/>
    <w:rsid w:val="00685866"/>
    <w:rsid w:val="0069361F"/>
    <w:rsid w:val="006C1C0A"/>
    <w:rsid w:val="006E5461"/>
    <w:rsid w:val="006F1E11"/>
    <w:rsid w:val="006F5F42"/>
    <w:rsid w:val="00714935"/>
    <w:rsid w:val="007324FA"/>
    <w:rsid w:val="0074229E"/>
    <w:rsid w:val="00761370"/>
    <w:rsid w:val="00786A06"/>
    <w:rsid w:val="00797DF8"/>
    <w:rsid w:val="007A05F6"/>
    <w:rsid w:val="007F484B"/>
    <w:rsid w:val="00803BCB"/>
    <w:rsid w:val="00804174"/>
    <w:rsid w:val="00804576"/>
    <w:rsid w:val="00832041"/>
    <w:rsid w:val="00842E03"/>
    <w:rsid w:val="00852A3F"/>
    <w:rsid w:val="00856ED2"/>
    <w:rsid w:val="008837E8"/>
    <w:rsid w:val="00891CB4"/>
    <w:rsid w:val="008C68D3"/>
    <w:rsid w:val="008E7305"/>
    <w:rsid w:val="009053FE"/>
    <w:rsid w:val="0091564A"/>
    <w:rsid w:val="009209B8"/>
    <w:rsid w:val="0098633C"/>
    <w:rsid w:val="009C4168"/>
    <w:rsid w:val="009D04BB"/>
    <w:rsid w:val="009D054E"/>
    <w:rsid w:val="009D6963"/>
    <w:rsid w:val="009D733F"/>
    <w:rsid w:val="00A8694A"/>
    <w:rsid w:val="00AA0E4F"/>
    <w:rsid w:val="00AA11A2"/>
    <w:rsid w:val="00AC3A99"/>
    <w:rsid w:val="00B25F26"/>
    <w:rsid w:val="00B26FCE"/>
    <w:rsid w:val="00B3047D"/>
    <w:rsid w:val="00B3758A"/>
    <w:rsid w:val="00B72CB7"/>
    <w:rsid w:val="00B76C47"/>
    <w:rsid w:val="00BA4526"/>
    <w:rsid w:val="00BC4283"/>
    <w:rsid w:val="00BE12D0"/>
    <w:rsid w:val="00BE35B5"/>
    <w:rsid w:val="00BF53A0"/>
    <w:rsid w:val="00BF69EE"/>
    <w:rsid w:val="00C02398"/>
    <w:rsid w:val="00C10872"/>
    <w:rsid w:val="00C1710B"/>
    <w:rsid w:val="00C24202"/>
    <w:rsid w:val="00C64E79"/>
    <w:rsid w:val="00CB7553"/>
    <w:rsid w:val="00CD2913"/>
    <w:rsid w:val="00D15154"/>
    <w:rsid w:val="00D16F1F"/>
    <w:rsid w:val="00D260CB"/>
    <w:rsid w:val="00D37E02"/>
    <w:rsid w:val="00D44E54"/>
    <w:rsid w:val="00D63614"/>
    <w:rsid w:val="00D67FC8"/>
    <w:rsid w:val="00DB12AE"/>
    <w:rsid w:val="00DB6C35"/>
    <w:rsid w:val="00DC6699"/>
    <w:rsid w:val="00DE21EB"/>
    <w:rsid w:val="00E26525"/>
    <w:rsid w:val="00E42988"/>
    <w:rsid w:val="00E50983"/>
    <w:rsid w:val="00EB2801"/>
    <w:rsid w:val="00EB6671"/>
    <w:rsid w:val="00EE75A8"/>
    <w:rsid w:val="00F05FE7"/>
    <w:rsid w:val="00F118BF"/>
    <w:rsid w:val="00F240E4"/>
    <w:rsid w:val="00F27A03"/>
    <w:rsid w:val="00F34BA1"/>
    <w:rsid w:val="00F406B3"/>
    <w:rsid w:val="00F6034C"/>
    <w:rsid w:val="00F95A3B"/>
    <w:rsid w:val="00FA7B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63298"/>
  <w15:chartTrackingRefBased/>
  <w15:docId w15:val="{B9C23708-524A-48F1-9411-017F6EC5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2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1710B"/>
    <w:pPr>
      <w:numPr>
        <w:numId w:val="2"/>
      </w:num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25F26"/>
    <w:pPr>
      <w:keepNext/>
      <w:keepLines/>
      <w:numPr>
        <w:numId w:val="3"/>
      </w:numPr>
      <w:spacing w:before="40" w:after="0"/>
      <w:outlineLvl w:val="2"/>
    </w:pPr>
    <w:rPr>
      <w:rFonts w:ascii="Arial" w:eastAsiaTheme="majorEastAsia" w:hAnsi="Arial" w:cstheme="majorBidi"/>
      <w:b/>
      <w:color w:val="1F3763" w:themeColor="accent1" w:themeShade="7F"/>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D6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963"/>
  </w:style>
  <w:style w:type="character" w:styleId="Lienhypertexte">
    <w:name w:val="Hyperlink"/>
    <w:basedOn w:val="Policepardfaut"/>
    <w:uiPriority w:val="99"/>
    <w:semiHidden/>
    <w:unhideWhenUsed/>
    <w:rsid w:val="002A51E2"/>
    <w:rPr>
      <w:color w:val="0000FF"/>
      <w:u w:val="single"/>
    </w:rPr>
  </w:style>
  <w:style w:type="character" w:styleId="lev">
    <w:name w:val="Strong"/>
    <w:basedOn w:val="Policepardfaut"/>
    <w:uiPriority w:val="22"/>
    <w:qFormat/>
    <w:rsid w:val="00442F70"/>
    <w:rPr>
      <w:b/>
      <w:bCs/>
    </w:rPr>
  </w:style>
  <w:style w:type="paragraph" w:customStyle="1" w:styleId="content-card-title">
    <w:name w:val="content-card-title"/>
    <w:basedOn w:val="Normal"/>
    <w:rsid w:val="006727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card-subtitle">
    <w:name w:val="content-card-subtitle"/>
    <w:basedOn w:val="Normal"/>
    <w:rsid w:val="006727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1710B"/>
    <w:rPr>
      <w:rFonts w:ascii="Times New Roman" w:eastAsia="Times New Roman" w:hAnsi="Times New Roman" w:cs="Times New Roman"/>
      <w:b/>
      <w:bCs/>
      <w:sz w:val="36"/>
      <w:szCs w:val="36"/>
      <w:lang w:eastAsia="fr-FR"/>
    </w:rPr>
  </w:style>
  <w:style w:type="paragraph" w:customStyle="1" w:styleId="ods-simple-tabs-nav-item">
    <w:name w:val="ods-simple-tabs-nav-item"/>
    <w:basedOn w:val="Normal"/>
    <w:rsid w:val="00C171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171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4C2CA7"/>
    <w:rPr>
      <w:color w:val="954F72" w:themeColor="followedHyperlink"/>
      <w:u w:val="single"/>
    </w:rPr>
  </w:style>
  <w:style w:type="character" w:customStyle="1" w:styleId="Titre1Car">
    <w:name w:val="Titre 1 Car"/>
    <w:basedOn w:val="Policepardfaut"/>
    <w:link w:val="Titre1"/>
    <w:uiPriority w:val="9"/>
    <w:rsid w:val="00304234"/>
    <w:rPr>
      <w:rFonts w:asciiTheme="majorHAnsi" w:eastAsiaTheme="majorEastAsia" w:hAnsiTheme="majorHAnsi" w:cstheme="majorBidi"/>
      <w:color w:val="2F5496" w:themeColor="accent1" w:themeShade="BF"/>
      <w:sz w:val="32"/>
      <w:szCs w:val="32"/>
    </w:rPr>
  </w:style>
  <w:style w:type="character" w:customStyle="1" w:styleId="ods-dataset-visualizationdataset-title-text">
    <w:name w:val="ods-dataset-visualization__dataset-title-text"/>
    <w:basedOn w:val="Policepardfaut"/>
    <w:rsid w:val="00304234"/>
  </w:style>
  <w:style w:type="paragraph" w:styleId="En-tte">
    <w:name w:val="header"/>
    <w:basedOn w:val="Normal"/>
    <w:link w:val="En-tteCar"/>
    <w:uiPriority w:val="99"/>
    <w:unhideWhenUsed/>
    <w:rsid w:val="00DB6C35"/>
    <w:pPr>
      <w:tabs>
        <w:tab w:val="center" w:pos="4536"/>
        <w:tab w:val="right" w:pos="9072"/>
      </w:tabs>
      <w:spacing w:after="0" w:line="240" w:lineRule="auto"/>
    </w:pPr>
  </w:style>
  <w:style w:type="character" w:customStyle="1" w:styleId="En-tteCar">
    <w:name w:val="En-tête Car"/>
    <w:basedOn w:val="Policepardfaut"/>
    <w:link w:val="En-tte"/>
    <w:uiPriority w:val="99"/>
    <w:rsid w:val="00DB6C35"/>
  </w:style>
  <w:style w:type="paragraph" w:styleId="Rvision">
    <w:name w:val="Revision"/>
    <w:hidden/>
    <w:uiPriority w:val="99"/>
    <w:semiHidden/>
    <w:rsid w:val="006C1C0A"/>
    <w:pPr>
      <w:spacing w:after="0" w:line="240" w:lineRule="auto"/>
    </w:pPr>
  </w:style>
  <w:style w:type="paragraph" w:styleId="Paragraphedeliste">
    <w:name w:val="List Paragraph"/>
    <w:basedOn w:val="Normal"/>
    <w:uiPriority w:val="34"/>
    <w:qFormat/>
    <w:rsid w:val="00B25F26"/>
    <w:pPr>
      <w:ind w:left="720"/>
      <w:contextualSpacing/>
    </w:pPr>
  </w:style>
  <w:style w:type="character" w:customStyle="1" w:styleId="Titre3Car">
    <w:name w:val="Titre 3 Car"/>
    <w:basedOn w:val="Policepardfaut"/>
    <w:link w:val="Titre3"/>
    <w:uiPriority w:val="9"/>
    <w:rsid w:val="00B25F26"/>
    <w:rPr>
      <w:rFonts w:ascii="Arial" w:eastAsiaTheme="majorEastAsia" w:hAnsi="Arial" w:cstheme="majorBidi"/>
      <w:b/>
      <w:color w:val="1F3763" w:themeColor="accent1" w:themeShade="7F"/>
      <w:sz w:val="28"/>
      <w:szCs w:val="24"/>
    </w:rPr>
  </w:style>
  <w:style w:type="paragraph" w:customStyle="1" w:styleId="TableContents">
    <w:name w:val="Table Contents"/>
    <w:basedOn w:val="Normal"/>
    <w:rsid w:val="00C64E79"/>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9898">
      <w:bodyDiv w:val="1"/>
      <w:marLeft w:val="0"/>
      <w:marRight w:val="0"/>
      <w:marTop w:val="0"/>
      <w:marBottom w:val="0"/>
      <w:divBdr>
        <w:top w:val="none" w:sz="0" w:space="0" w:color="auto"/>
        <w:left w:val="none" w:sz="0" w:space="0" w:color="auto"/>
        <w:bottom w:val="none" w:sz="0" w:space="0" w:color="auto"/>
        <w:right w:val="none" w:sz="0" w:space="0" w:color="auto"/>
      </w:divBdr>
    </w:div>
    <w:div w:id="947736474">
      <w:bodyDiv w:val="1"/>
      <w:marLeft w:val="0"/>
      <w:marRight w:val="0"/>
      <w:marTop w:val="0"/>
      <w:marBottom w:val="0"/>
      <w:divBdr>
        <w:top w:val="none" w:sz="0" w:space="0" w:color="auto"/>
        <w:left w:val="none" w:sz="0" w:space="0" w:color="auto"/>
        <w:bottom w:val="none" w:sz="0" w:space="0" w:color="auto"/>
        <w:right w:val="none" w:sz="0" w:space="0" w:color="auto"/>
      </w:divBdr>
    </w:div>
    <w:div w:id="1336421960">
      <w:bodyDiv w:val="1"/>
      <w:marLeft w:val="0"/>
      <w:marRight w:val="0"/>
      <w:marTop w:val="0"/>
      <w:marBottom w:val="0"/>
      <w:divBdr>
        <w:top w:val="none" w:sz="0" w:space="0" w:color="auto"/>
        <w:left w:val="none" w:sz="0" w:space="0" w:color="auto"/>
        <w:bottom w:val="none" w:sz="0" w:space="0" w:color="auto"/>
        <w:right w:val="none" w:sz="0" w:space="0" w:color="auto"/>
      </w:divBdr>
    </w:div>
    <w:div w:id="1472093897">
      <w:bodyDiv w:val="1"/>
      <w:marLeft w:val="0"/>
      <w:marRight w:val="0"/>
      <w:marTop w:val="0"/>
      <w:marBottom w:val="0"/>
      <w:divBdr>
        <w:top w:val="none" w:sz="0" w:space="0" w:color="auto"/>
        <w:left w:val="none" w:sz="0" w:space="0" w:color="auto"/>
        <w:bottom w:val="none" w:sz="0" w:space="0" w:color="auto"/>
        <w:right w:val="none" w:sz="0" w:space="0" w:color="auto"/>
      </w:divBdr>
      <w:divsChild>
        <w:div w:id="2360974">
          <w:marLeft w:val="0"/>
          <w:marRight w:val="0"/>
          <w:marTop w:val="0"/>
          <w:marBottom w:val="0"/>
          <w:divBdr>
            <w:top w:val="none" w:sz="0" w:space="0" w:color="auto"/>
            <w:left w:val="none" w:sz="0" w:space="0" w:color="auto"/>
            <w:bottom w:val="none" w:sz="0" w:space="0" w:color="auto"/>
            <w:right w:val="none" w:sz="0" w:space="0" w:color="auto"/>
          </w:divBdr>
          <w:divsChild>
            <w:div w:id="1479150950">
              <w:marLeft w:val="300"/>
              <w:marRight w:val="0"/>
              <w:marTop w:val="0"/>
              <w:marBottom w:val="0"/>
              <w:divBdr>
                <w:top w:val="none" w:sz="0" w:space="0" w:color="auto"/>
                <w:left w:val="none" w:sz="0" w:space="0" w:color="auto"/>
                <w:bottom w:val="none" w:sz="0" w:space="0" w:color="auto"/>
                <w:right w:val="none" w:sz="0" w:space="0" w:color="auto"/>
              </w:divBdr>
            </w:div>
          </w:divsChild>
        </w:div>
        <w:div w:id="1686900899">
          <w:marLeft w:val="0"/>
          <w:marRight w:val="0"/>
          <w:marTop w:val="0"/>
          <w:marBottom w:val="0"/>
          <w:divBdr>
            <w:top w:val="none" w:sz="0" w:space="0" w:color="auto"/>
            <w:left w:val="none" w:sz="0" w:space="0" w:color="auto"/>
            <w:bottom w:val="none" w:sz="0" w:space="0" w:color="auto"/>
            <w:right w:val="none" w:sz="0" w:space="0" w:color="auto"/>
          </w:divBdr>
          <w:divsChild>
            <w:div w:id="169103434">
              <w:marLeft w:val="0"/>
              <w:marRight w:val="0"/>
              <w:marTop w:val="0"/>
              <w:marBottom w:val="0"/>
              <w:divBdr>
                <w:top w:val="none" w:sz="0" w:space="0" w:color="auto"/>
                <w:left w:val="none" w:sz="0" w:space="0" w:color="auto"/>
                <w:bottom w:val="none" w:sz="0" w:space="0" w:color="auto"/>
                <w:right w:val="none" w:sz="0" w:space="0" w:color="auto"/>
              </w:divBdr>
            </w:div>
            <w:div w:id="474957865">
              <w:marLeft w:val="0"/>
              <w:marRight w:val="0"/>
              <w:marTop w:val="0"/>
              <w:marBottom w:val="0"/>
              <w:divBdr>
                <w:top w:val="none" w:sz="0" w:space="0" w:color="auto"/>
                <w:left w:val="none" w:sz="0" w:space="0" w:color="auto"/>
                <w:bottom w:val="none" w:sz="0" w:space="0" w:color="auto"/>
                <w:right w:val="none" w:sz="0" w:space="0" w:color="auto"/>
              </w:divBdr>
              <w:divsChild>
                <w:div w:id="645403026">
                  <w:marLeft w:val="0"/>
                  <w:marRight w:val="0"/>
                  <w:marTop w:val="0"/>
                  <w:marBottom w:val="0"/>
                  <w:divBdr>
                    <w:top w:val="single" w:sz="6" w:space="15" w:color="E5E5E5"/>
                    <w:left w:val="single" w:sz="6" w:space="15" w:color="E5E5E5"/>
                    <w:bottom w:val="single" w:sz="6" w:space="15" w:color="E5E5E5"/>
                    <w:right w:val="single" w:sz="6" w:space="15" w:color="E5E5E5"/>
                  </w:divBdr>
                  <w:divsChild>
                    <w:div w:id="1039205184">
                      <w:marLeft w:val="0"/>
                      <w:marRight w:val="0"/>
                      <w:marTop w:val="0"/>
                      <w:marBottom w:val="0"/>
                      <w:divBdr>
                        <w:top w:val="none" w:sz="0" w:space="0" w:color="auto"/>
                        <w:left w:val="none" w:sz="0" w:space="0" w:color="auto"/>
                        <w:bottom w:val="none" w:sz="0" w:space="0" w:color="auto"/>
                        <w:right w:val="none" w:sz="0" w:space="0" w:color="auto"/>
                      </w:divBdr>
                      <w:divsChild>
                        <w:div w:id="9237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766815">
      <w:bodyDiv w:val="1"/>
      <w:marLeft w:val="0"/>
      <w:marRight w:val="0"/>
      <w:marTop w:val="0"/>
      <w:marBottom w:val="0"/>
      <w:divBdr>
        <w:top w:val="none" w:sz="0" w:space="0" w:color="auto"/>
        <w:left w:val="none" w:sz="0" w:space="0" w:color="auto"/>
        <w:bottom w:val="none" w:sz="0" w:space="0" w:color="auto"/>
        <w:right w:val="none" w:sz="0" w:space="0" w:color="auto"/>
      </w:divBdr>
    </w:div>
    <w:div w:id="2133668885">
      <w:bodyDiv w:val="1"/>
      <w:marLeft w:val="0"/>
      <w:marRight w:val="0"/>
      <w:marTop w:val="0"/>
      <w:marBottom w:val="0"/>
      <w:divBdr>
        <w:top w:val="none" w:sz="0" w:space="0" w:color="auto"/>
        <w:left w:val="none" w:sz="0" w:space="0" w:color="auto"/>
        <w:bottom w:val="none" w:sz="0" w:space="0" w:color="auto"/>
        <w:right w:val="none" w:sz="0" w:space="0" w:color="auto"/>
      </w:divBdr>
      <w:divsChild>
        <w:div w:id="1397238427">
          <w:marLeft w:val="-75"/>
          <w:marRight w:val="-75"/>
          <w:marTop w:val="0"/>
          <w:marBottom w:val="0"/>
          <w:divBdr>
            <w:top w:val="none" w:sz="0" w:space="0" w:color="auto"/>
            <w:left w:val="none" w:sz="0" w:space="0" w:color="auto"/>
            <w:bottom w:val="none" w:sz="0" w:space="0" w:color="auto"/>
            <w:right w:val="none" w:sz="0" w:space="0" w:color="auto"/>
          </w:divBdr>
        </w:div>
        <w:div w:id="784614104">
          <w:marLeft w:val="0"/>
          <w:marRight w:val="0"/>
          <w:marTop w:val="0"/>
          <w:marBottom w:val="0"/>
          <w:divBdr>
            <w:top w:val="none" w:sz="0" w:space="0" w:color="auto"/>
            <w:left w:val="none" w:sz="0" w:space="0" w:color="auto"/>
            <w:bottom w:val="none" w:sz="0" w:space="0" w:color="auto"/>
            <w:right w:val="none" w:sz="0" w:space="0" w:color="auto"/>
          </w:divBdr>
          <w:divsChild>
            <w:div w:id="1549101438">
              <w:marLeft w:val="0"/>
              <w:marRight w:val="0"/>
              <w:marTop w:val="0"/>
              <w:marBottom w:val="0"/>
              <w:divBdr>
                <w:top w:val="none" w:sz="0" w:space="0" w:color="auto"/>
                <w:left w:val="none" w:sz="0" w:space="0" w:color="auto"/>
                <w:bottom w:val="none" w:sz="0" w:space="0" w:color="auto"/>
                <w:right w:val="none" w:sz="0" w:space="0" w:color="auto"/>
              </w:divBdr>
              <w:divsChild>
                <w:div w:id="1515537225">
                  <w:marLeft w:val="0"/>
                  <w:marRight w:val="0"/>
                  <w:marTop w:val="0"/>
                  <w:marBottom w:val="0"/>
                  <w:divBdr>
                    <w:top w:val="none" w:sz="0" w:space="0" w:color="auto"/>
                    <w:left w:val="none" w:sz="0" w:space="0" w:color="auto"/>
                    <w:bottom w:val="none" w:sz="0" w:space="0" w:color="auto"/>
                    <w:right w:val="none" w:sz="0" w:space="0" w:color="auto"/>
                  </w:divBdr>
                  <w:divsChild>
                    <w:div w:id="1380326247">
                      <w:marLeft w:val="0"/>
                      <w:marRight w:val="0"/>
                      <w:marTop w:val="0"/>
                      <w:marBottom w:val="0"/>
                      <w:divBdr>
                        <w:top w:val="none" w:sz="0" w:space="0" w:color="auto"/>
                        <w:left w:val="none" w:sz="0" w:space="0" w:color="auto"/>
                        <w:bottom w:val="none" w:sz="0" w:space="0" w:color="auto"/>
                        <w:right w:val="none" w:sz="0" w:space="0" w:color="auto"/>
                      </w:divBdr>
                      <w:divsChild>
                        <w:div w:id="15830260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1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eore.fr/" TargetMode="External"/><Relationship Id="rId13" Type="http://schemas.openxmlformats.org/officeDocument/2006/relationships/hyperlink" Target="https://opendata.agenceore.fr/explore/dataset/conso-elec-gaz-annuelle-par-naf-agregee-iris/information/" TargetMode="External"/><Relationship Id="rId18" Type="http://schemas.openxmlformats.org/officeDocument/2006/relationships/hyperlink" Target="https://odre.opendatasoft.com/explore/dataset/repartition-des-potentiels-de-methanisation-a-horizon-2050-par-canton/information/?disjunctive.departement&amp;disjunctive.region&amp;disjunctive.code_canton&amp;disjunctive.cant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dre.opendatasoft.com/explore/dataset/corridor_grd_10_km-nat-grtgaz/information/" TargetMode="External"/><Relationship Id="rId7" Type="http://schemas.openxmlformats.org/officeDocument/2006/relationships/hyperlink" Target="https://opendata.reseaux-energies.fr/" TargetMode="External"/><Relationship Id="rId12" Type="http://schemas.openxmlformats.org/officeDocument/2006/relationships/hyperlink" Target="https://odre.opendatasoft.com/explore/dataset/consommation-annuelle-a-la-maille-adresse-2018-et-2019/information/?disjunctive.departement&amp;disjunctive.region&amp;disjunctive.operateur" TargetMode="External"/><Relationship Id="rId17" Type="http://schemas.openxmlformats.org/officeDocument/2006/relationships/hyperlink" Target="https://odre.opendatasoft.com/explore/dataset/terega-trace-du-reseau/information/?disjunctive.region&amp;disjunctive.nom_du_departemen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dre.opendatasoft.com/explore/dataset/trace-du-reseau-grt-250/custom/?disjunctive.departement" TargetMode="External"/><Relationship Id="rId20" Type="http://schemas.openxmlformats.org/officeDocument/2006/relationships/hyperlink" Target="https://odre.opendatasoft.com/explore/dataset/cartographie-acces-biomethane/table/?disjunctive.label_region&amp;disjunctive.label_departem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re.opendatasoft.com/explore/dataset/consommation-annuelle-par-iris/information/" TargetMode="External"/><Relationship Id="rId24" Type="http://schemas.openxmlformats.org/officeDocument/2006/relationships/hyperlink" Target="https://odre.opendatasoft.com/explore/dataset/corridor_grt_20_km-nat-grtgaz/information/" TargetMode="External"/><Relationship Id="rId5" Type="http://schemas.openxmlformats.org/officeDocument/2006/relationships/footnotes" Target="footnotes.xml"/><Relationship Id="rId15" Type="http://schemas.openxmlformats.org/officeDocument/2006/relationships/hyperlink" Target="https://opendata.agenceore.fr/explore/dataset/infrastructures-reseau-gaz/map/?location=12,46.309,4.67314&amp;basemap=jawg.streets" TargetMode="External"/><Relationship Id="rId23" Type="http://schemas.openxmlformats.org/officeDocument/2006/relationships/hyperlink" Target="https://odre.opendatasoft.com/explore/dataset/corridor_grd_20_km-nat-grtgaz/information/" TargetMode="External"/><Relationship Id="rId28" Type="http://schemas.openxmlformats.org/officeDocument/2006/relationships/footer" Target="footer3.xml"/><Relationship Id="rId10" Type="http://schemas.openxmlformats.org/officeDocument/2006/relationships/hyperlink" Target="https://odre.opendatasoft.com/pages/observatoire-gnv/points-davitaillement" TargetMode="External"/><Relationship Id="rId19" Type="http://schemas.openxmlformats.org/officeDocument/2006/relationships/hyperlink" Target="https://librairie.ademe.fr/energies-renouvelables-reseaux-et-stockage/1548-mix-de-gaz-100-renouvelable-en-2050--9791029710476.html" TargetMode="External"/><Relationship Id="rId4" Type="http://schemas.openxmlformats.org/officeDocument/2006/relationships/webSettings" Target="webSettings.xml"/><Relationship Id="rId9" Type="http://schemas.openxmlformats.org/officeDocument/2006/relationships/hyperlink" Target="https://odre.opendatasoft.com/pages/observatoire-biomethane-V2/implantation-des-sites" TargetMode="External"/><Relationship Id="rId14" Type="http://schemas.openxmlformats.org/officeDocument/2006/relationships/hyperlink" Target="https://odre.opendatasoft.com/explore/dataset/points-dinjection-de-biomethane-en-france/table/?disjunctive.site&amp;disjunctive.nom_epci&amp;disjunctive.departement&amp;disjunctive.region&amp;disjunctive.type_de_reseau&amp;disjunctive.grx_demandeur&amp;sort=-date_de_mes&amp;disjunctive.ndeg_de_pitd_pitp&amp;disjunctive.augmentation_prevue" TargetMode="External"/><Relationship Id="rId22" Type="http://schemas.openxmlformats.org/officeDocument/2006/relationships/hyperlink" Target="https://odre.opendatasoft.com/explore/dataset/corridor_grt_10_km-nat-grtgaz/information/"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d972bf-56dc-4dac-ab09-6f58e6bc3c6d}" enabled="1" method="Privileged" siteId="{081c4a9c-ea86-468c-9b4c-30d99d63df7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1952</Words>
  <Characters>10739</Characters>
  <Application>Microsoft Office Word</Application>
  <DocSecurity>0</DocSecurity>
  <Lines>89</Lines>
  <Paragraphs>25</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vt:lpstr>
      <vt:lpstr>    « L’open data du Gaz » : quelles données numériques en libre accès/Open data ?</vt:lpstr>
      <vt:lpstr>    Le suivi territorial et sectoriel des consommations</vt:lpstr>
      <vt:lpstr>    Les infrastructures et installations existantes</vt:lpstr>
      <vt:lpstr>        La localisation des sites biométhane en service</vt:lpstr>
      <vt:lpstr>        Les tracés des réseaux linéaires d’alimentation en énergie</vt:lpstr>
      <vt:lpstr>    Potentiel de développement de méthaniseur</vt:lpstr>
      <vt:lpstr>        Potentiel de méthanisation </vt:lpstr>
      <vt:lpstr>        Droit à l’injection, critères technico économiques </vt:lpstr>
      <vt:lpstr>        Calcul de buffers de proximité des infrastructures de transport et distribution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BRULLE Yves</dc:creator>
  <cp:keywords/>
  <dc:description/>
  <cp:lastModifiedBy>Myriam LORCET</cp:lastModifiedBy>
  <cp:revision>2</cp:revision>
  <cp:lastPrinted>2023-12-23T07:32:00Z</cp:lastPrinted>
  <dcterms:created xsi:type="dcterms:W3CDTF">2023-12-23T07:34:00Z</dcterms:created>
  <dcterms:modified xsi:type="dcterms:W3CDTF">2023-12-23T07:34:00Z</dcterms:modified>
</cp:coreProperties>
</file>